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EB" w:rsidRPr="00DC1275" w:rsidRDefault="00B95FEB" w:rsidP="00B95FEB">
      <w:pPr>
        <w:jc w:val="center"/>
        <w:rPr>
          <w:sz w:val="16"/>
        </w:rPr>
      </w:pPr>
      <w:r w:rsidRPr="00DC1275">
        <w:rPr>
          <w:noProof/>
          <w:sz w:val="16"/>
        </w:rPr>
        <w:drawing>
          <wp:inline distT="0" distB="0" distL="0" distR="0" wp14:anchorId="52499410" wp14:editId="6BC1FDF4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EB" w:rsidRPr="00DC1275" w:rsidRDefault="00B95FEB" w:rsidP="00B95FEB">
      <w:pPr>
        <w:rPr>
          <w:b/>
          <w:sz w:val="36"/>
        </w:rPr>
      </w:pPr>
      <w:r w:rsidRPr="00DC1275">
        <w:rPr>
          <w:b/>
          <w:sz w:val="36"/>
        </w:rPr>
        <w:t xml:space="preserve">          </w:t>
      </w:r>
    </w:p>
    <w:p w:rsidR="00B95FEB" w:rsidRPr="00DC1275" w:rsidRDefault="00B95FEB" w:rsidP="00B95FEB">
      <w:pPr>
        <w:jc w:val="center"/>
        <w:rPr>
          <w:b/>
          <w:sz w:val="36"/>
        </w:rPr>
      </w:pPr>
      <w:r w:rsidRPr="00DC1275">
        <w:rPr>
          <w:b/>
          <w:sz w:val="36"/>
        </w:rPr>
        <w:t>АДМИНИСТРАЦИЯ ГОРОДА БОГОТОЛА</w:t>
      </w:r>
    </w:p>
    <w:p w:rsidR="00B95FEB" w:rsidRPr="00DC1275" w:rsidRDefault="00B95FEB" w:rsidP="00B95FEB">
      <w:pPr>
        <w:jc w:val="center"/>
        <w:rPr>
          <w:b/>
          <w:sz w:val="28"/>
        </w:rPr>
      </w:pPr>
      <w:r w:rsidRPr="00DC1275">
        <w:rPr>
          <w:b/>
          <w:sz w:val="28"/>
        </w:rPr>
        <w:t>Красноярского края</w:t>
      </w:r>
    </w:p>
    <w:p w:rsidR="00B95FEB" w:rsidRPr="00DC1275" w:rsidRDefault="00B95FEB" w:rsidP="00B95FEB">
      <w:pPr>
        <w:jc w:val="center"/>
        <w:rPr>
          <w:b/>
          <w:sz w:val="28"/>
        </w:rPr>
      </w:pPr>
    </w:p>
    <w:p w:rsidR="00B95FEB" w:rsidRPr="00DC1275" w:rsidRDefault="00B95FEB" w:rsidP="00B95FEB">
      <w:pPr>
        <w:jc w:val="center"/>
        <w:rPr>
          <w:b/>
          <w:sz w:val="28"/>
        </w:rPr>
      </w:pPr>
    </w:p>
    <w:p w:rsidR="00B95FEB" w:rsidRPr="00DC1275" w:rsidRDefault="00B95FEB" w:rsidP="00B95FEB">
      <w:pPr>
        <w:jc w:val="center"/>
        <w:rPr>
          <w:b/>
          <w:sz w:val="48"/>
        </w:rPr>
      </w:pPr>
      <w:r w:rsidRPr="00DC1275">
        <w:rPr>
          <w:b/>
          <w:sz w:val="48"/>
        </w:rPr>
        <w:t>ПОСТАНОВЛЕНИЕ</w:t>
      </w:r>
    </w:p>
    <w:p w:rsidR="00B95FEB" w:rsidRPr="00DC1275" w:rsidRDefault="00B95FEB" w:rsidP="00B95FEB">
      <w:pPr>
        <w:jc w:val="both"/>
        <w:rPr>
          <w:b/>
          <w:sz w:val="32"/>
        </w:rPr>
      </w:pPr>
    </w:p>
    <w:p w:rsidR="00B95FEB" w:rsidRPr="00DC1275" w:rsidRDefault="00B95FEB" w:rsidP="00B95FEB">
      <w:pPr>
        <w:jc w:val="both"/>
        <w:rPr>
          <w:b/>
          <w:sz w:val="32"/>
        </w:rPr>
      </w:pPr>
    </w:p>
    <w:p w:rsidR="00B95FEB" w:rsidRPr="00DC1275" w:rsidRDefault="00B95FEB" w:rsidP="00B95FEB">
      <w:pPr>
        <w:rPr>
          <w:b/>
          <w:sz w:val="32"/>
        </w:rPr>
      </w:pPr>
      <w:proofErr w:type="gramStart"/>
      <w:r w:rsidRPr="00DC1275">
        <w:rPr>
          <w:b/>
          <w:sz w:val="32"/>
        </w:rPr>
        <w:t xml:space="preserve">«  </w:t>
      </w:r>
      <w:proofErr w:type="gramEnd"/>
      <w:r w:rsidR="009A4D64">
        <w:rPr>
          <w:b/>
          <w:sz w:val="32"/>
        </w:rPr>
        <w:t xml:space="preserve">     </w:t>
      </w:r>
      <w:r>
        <w:rPr>
          <w:b/>
          <w:sz w:val="32"/>
        </w:rPr>
        <w:t xml:space="preserve">  »</w:t>
      </w:r>
      <w:r w:rsidR="009A4D64">
        <w:rPr>
          <w:b/>
          <w:sz w:val="32"/>
        </w:rPr>
        <w:t xml:space="preserve">               </w:t>
      </w:r>
      <w:r w:rsidRPr="00DC1275">
        <w:rPr>
          <w:b/>
          <w:sz w:val="32"/>
        </w:rPr>
        <w:t>202</w:t>
      </w:r>
      <w:r w:rsidR="00442B27">
        <w:rPr>
          <w:b/>
          <w:sz w:val="32"/>
        </w:rPr>
        <w:t>4</w:t>
      </w:r>
      <w:r w:rsidRPr="00DC1275">
        <w:rPr>
          <w:b/>
          <w:sz w:val="32"/>
        </w:rPr>
        <w:t xml:space="preserve">   г.     </w:t>
      </w:r>
      <w:r>
        <w:rPr>
          <w:b/>
          <w:sz w:val="32"/>
        </w:rPr>
        <w:t xml:space="preserve">  </w:t>
      </w:r>
      <w:r w:rsidRPr="00DC1275">
        <w:rPr>
          <w:b/>
          <w:sz w:val="32"/>
        </w:rPr>
        <w:t>г. Бого</w:t>
      </w:r>
      <w:r>
        <w:rPr>
          <w:b/>
          <w:sz w:val="32"/>
        </w:rPr>
        <w:t xml:space="preserve">тол                            </w:t>
      </w:r>
      <w:proofErr w:type="gramStart"/>
      <w:r w:rsidRPr="00DC1275">
        <w:rPr>
          <w:b/>
          <w:sz w:val="32"/>
        </w:rPr>
        <w:t>№</w:t>
      </w:r>
      <w:r>
        <w:rPr>
          <w:b/>
          <w:sz w:val="32"/>
        </w:rPr>
        <w:t xml:space="preserve">  </w:t>
      </w:r>
      <w:r w:rsidR="009A4D64">
        <w:rPr>
          <w:b/>
          <w:sz w:val="32"/>
        </w:rPr>
        <w:t>_</w:t>
      </w:r>
      <w:proofErr w:type="gramEnd"/>
      <w:r w:rsidR="009A4D64">
        <w:rPr>
          <w:b/>
          <w:sz w:val="32"/>
        </w:rPr>
        <w:t>_______</w:t>
      </w: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Об утверждении </w:t>
      </w:r>
      <w:r w:rsidR="009A4D64" w:rsidRPr="00B95FEB">
        <w:rPr>
          <w:sz w:val="28"/>
          <w:szCs w:val="28"/>
        </w:rPr>
        <w:t>Программ</w:t>
      </w:r>
      <w:r w:rsidR="009A4D64">
        <w:rPr>
          <w:sz w:val="28"/>
          <w:szCs w:val="28"/>
        </w:rPr>
        <w:t>ы</w:t>
      </w:r>
      <w:r w:rsidR="009A4D64"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 w:rsidR="009A4D64">
        <w:rPr>
          <w:sz w:val="28"/>
          <w:szCs w:val="28"/>
        </w:rPr>
        <w:t xml:space="preserve"> </w:t>
      </w:r>
      <w:r w:rsidR="009A4D64" w:rsidRPr="00B95FEB">
        <w:rPr>
          <w:sz w:val="28"/>
          <w:szCs w:val="28"/>
        </w:rPr>
        <w:t>на 20</w:t>
      </w:r>
      <w:r w:rsidR="00F93C39">
        <w:rPr>
          <w:sz w:val="28"/>
          <w:szCs w:val="28"/>
        </w:rPr>
        <w:t>2</w:t>
      </w:r>
      <w:r w:rsidR="00FF30EE">
        <w:rPr>
          <w:sz w:val="28"/>
          <w:szCs w:val="28"/>
        </w:rPr>
        <w:t>5</w:t>
      </w:r>
      <w:r w:rsidR="00F93C39">
        <w:rPr>
          <w:sz w:val="28"/>
          <w:szCs w:val="28"/>
        </w:rPr>
        <w:t xml:space="preserve"> год</w:t>
      </w:r>
      <w:r w:rsidR="009A4D64">
        <w:rPr>
          <w:sz w:val="28"/>
          <w:szCs w:val="28"/>
        </w:rPr>
        <w:t>.</w:t>
      </w:r>
      <w:r w:rsidR="009A4D64" w:rsidRPr="00B95FEB">
        <w:rPr>
          <w:sz w:val="28"/>
          <w:szCs w:val="28"/>
        </w:rPr>
        <w:t xml:space="preserve">  </w:t>
      </w: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Default="00B95FEB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</w:t>
      </w:r>
      <w:r w:rsidRPr="009A4D64">
        <w:rPr>
          <w:sz w:val="28"/>
          <w:szCs w:val="28"/>
        </w:rPr>
        <w:t>установленных в нарушение определенного правовыми актами города порядка временных объектов, в соответствии с ст. 46</w:t>
      </w:r>
      <w:r w:rsidR="009A4D64" w:rsidRPr="009A4D64">
        <w:rPr>
          <w:sz w:val="28"/>
          <w:szCs w:val="28"/>
        </w:rPr>
        <w:t xml:space="preserve"> Федеральн</w:t>
      </w:r>
      <w:r w:rsidR="009A4D64">
        <w:rPr>
          <w:sz w:val="28"/>
          <w:szCs w:val="28"/>
        </w:rPr>
        <w:t>ого</w:t>
      </w:r>
      <w:r w:rsidR="009A4D64" w:rsidRPr="009A4D64">
        <w:rPr>
          <w:sz w:val="28"/>
          <w:szCs w:val="28"/>
        </w:rPr>
        <w:t xml:space="preserve"> закон</w:t>
      </w:r>
      <w:r w:rsidR="009A4D64">
        <w:rPr>
          <w:sz w:val="28"/>
          <w:szCs w:val="28"/>
        </w:rPr>
        <w:t>а</w:t>
      </w:r>
      <w:r w:rsidR="009A4D64" w:rsidRPr="009A4D64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082310">
        <w:rPr>
          <w:sz w:val="28"/>
          <w:szCs w:val="28"/>
        </w:rPr>
        <w:t xml:space="preserve">, </w:t>
      </w:r>
      <w:r w:rsidR="00082310" w:rsidRPr="00082310">
        <w:rPr>
          <w:sz w:val="28"/>
          <w:szCs w:val="28"/>
        </w:rPr>
        <w:t>Постановлением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4D64">
        <w:rPr>
          <w:sz w:val="28"/>
          <w:szCs w:val="28"/>
        </w:rPr>
        <w:t>, руководствуясь п. 10 ст. 41, ст. 71, ст. 72, ст. 73 Устава городского округа город  Боготол Красноярского края, ПОСТАНОВЛЯЮ:</w:t>
      </w:r>
    </w:p>
    <w:p w:rsidR="00B95FEB" w:rsidRDefault="00B95FEB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1. Утвердить </w:t>
      </w:r>
      <w:r w:rsidRPr="00B95FE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 w:rsidR="009A4D64">
        <w:rPr>
          <w:sz w:val="28"/>
          <w:szCs w:val="28"/>
        </w:rPr>
        <w:t xml:space="preserve"> </w:t>
      </w:r>
      <w:r w:rsidRPr="00B95FEB">
        <w:rPr>
          <w:sz w:val="28"/>
          <w:szCs w:val="28"/>
        </w:rPr>
        <w:t>на 202</w:t>
      </w:r>
      <w:r w:rsidR="00FF30EE">
        <w:rPr>
          <w:sz w:val="28"/>
          <w:szCs w:val="28"/>
        </w:rPr>
        <w:t>5</w:t>
      </w:r>
      <w:r w:rsidR="00F93C39">
        <w:rPr>
          <w:sz w:val="28"/>
          <w:szCs w:val="28"/>
        </w:rPr>
        <w:t xml:space="preserve"> </w:t>
      </w:r>
      <w:r w:rsidRPr="00B95FEB">
        <w:rPr>
          <w:sz w:val="28"/>
          <w:szCs w:val="28"/>
        </w:rPr>
        <w:t>год</w:t>
      </w:r>
      <w:r w:rsidR="009A4D64">
        <w:rPr>
          <w:sz w:val="28"/>
          <w:szCs w:val="28"/>
        </w:rPr>
        <w:t>.</w:t>
      </w:r>
      <w:r w:rsidRPr="00B95FEB">
        <w:rPr>
          <w:sz w:val="28"/>
          <w:szCs w:val="28"/>
        </w:rPr>
        <w:t xml:space="preserve">  </w:t>
      </w:r>
    </w:p>
    <w:p w:rsidR="00B95FEB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FEB" w:rsidRPr="00DC1275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r w:rsidR="00E03372" w:rsidRPr="00E03372">
        <w:rPr>
          <w:sz w:val="28"/>
          <w:szCs w:val="28"/>
        </w:rPr>
        <w:t>bogotolcity.gosuslugi.ru</w:t>
      </w:r>
      <w:r w:rsidR="00E03372">
        <w:rPr>
          <w:sz w:val="28"/>
          <w:szCs w:val="28"/>
        </w:rPr>
        <w:t xml:space="preserve"> </w:t>
      </w:r>
      <w:r w:rsidR="00B95FEB" w:rsidRPr="00DC1275">
        <w:rPr>
          <w:sz w:val="28"/>
          <w:szCs w:val="28"/>
        </w:rPr>
        <w:t xml:space="preserve">в сети Интернет и опубликовать в официальном печатном издании газете «Земля боготольская». </w:t>
      </w:r>
    </w:p>
    <w:p w:rsidR="00B95FEB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FEB" w:rsidRPr="00DC1275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95FEB" w:rsidRPr="00DC1275" w:rsidRDefault="009A4D64" w:rsidP="00B9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FEB" w:rsidRPr="00DC1275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B95FEB" w:rsidRDefault="00B95FEB" w:rsidP="00B95FEB">
      <w:pPr>
        <w:jc w:val="both"/>
        <w:rPr>
          <w:sz w:val="28"/>
          <w:szCs w:val="28"/>
        </w:rPr>
      </w:pPr>
    </w:p>
    <w:p w:rsidR="00B95FEB" w:rsidRDefault="00B95FEB" w:rsidP="00B95FEB">
      <w:pPr>
        <w:jc w:val="both"/>
        <w:rPr>
          <w:sz w:val="28"/>
          <w:szCs w:val="28"/>
        </w:rPr>
      </w:pPr>
    </w:p>
    <w:p w:rsidR="00442B27" w:rsidRDefault="00442B27" w:rsidP="00442B2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42B27" w:rsidRDefault="00442B27" w:rsidP="00442B2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Главы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А.А. Шитиков</w:t>
      </w:r>
    </w:p>
    <w:p w:rsidR="00442B27" w:rsidRPr="00E34B17" w:rsidRDefault="00442B27" w:rsidP="00442B27">
      <w:pPr>
        <w:rPr>
          <w:sz w:val="28"/>
          <w:szCs w:val="28"/>
        </w:rPr>
      </w:pPr>
    </w:p>
    <w:p w:rsidR="00442B27" w:rsidRDefault="00442B27" w:rsidP="00442B27"/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64" w:rsidRPr="00DC1275" w:rsidRDefault="009A4D64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FEB" w:rsidRPr="00DC1275" w:rsidRDefault="00B95FEB" w:rsidP="00B95FEB">
      <w:pPr>
        <w:tabs>
          <w:tab w:val="left" w:pos="1650"/>
        </w:tabs>
        <w:contextualSpacing/>
      </w:pPr>
      <w:proofErr w:type="spellStart"/>
      <w:r>
        <w:t>Рогозная</w:t>
      </w:r>
      <w:proofErr w:type="spellEnd"/>
      <w:r>
        <w:t xml:space="preserve"> Елена Антоновна</w:t>
      </w:r>
    </w:p>
    <w:p w:rsidR="00B95FEB" w:rsidRPr="00DC1275" w:rsidRDefault="00B95FEB" w:rsidP="00B95FEB">
      <w:pPr>
        <w:tabs>
          <w:tab w:val="left" w:pos="1650"/>
        </w:tabs>
        <w:contextualSpacing/>
        <w:rPr>
          <w:sz w:val="20"/>
          <w:szCs w:val="20"/>
        </w:rPr>
      </w:pPr>
      <w:r w:rsidRPr="00DC1275">
        <w:rPr>
          <w:sz w:val="20"/>
          <w:szCs w:val="20"/>
        </w:rPr>
        <w:t>6-34-0</w:t>
      </w:r>
      <w:r>
        <w:rPr>
          <w:sz w:val="20"/>
          <w:szCs w:val="20"/>
        </w:rPr>
        <w:t>5</w:t>
      </w:r>
    </w:p>
    <w:p w:rsidR="00B95FEB" w:rsidRPr="00DC1275" w:rsidRDefault="00816F48" w:rsidP="00B95FEB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95FEB">
        <w:rPr>
          <w:sz w:val="20"/>
          <w:szCs w:val="20"/>
        </w:rPr>
        <w:t xml:space="preserve"> </w:t>
      </w:r>
      <w:r w:rsidR="00B95FEB" w:rsidRPr="00DC1275">
        <w:rPr>
          <w:sz w:val="20"/>
          <w:szCs w:val="20"/>
        </w:rPr>
        <w:t>экз.</w:t>
      </w:r>
    </w:p>
    <w:p w:rsidR="00494DD5" w:rsidRDefault="00494DD5" w:rsidP="00494DD5">
      <w:pPr>
        <w:rPr>
          <w:color w:val="000000" w:themeColor="text1"/>
        </w:rPr>
      </w:pP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к постановлению администрации</w:t>
      </w: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города Боготола</w:t>
      </w:r>
    </w:p>
    <w:p w:rsidR="00B95FEB" w:rsidRPr="00DC1275" w:rsidRDefault="00B95FEB" w:rsidP="00B95FEB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            202</w:t>
      </w:r>
      <w:r w:rsidR="00FF30EE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0" w:name="P34"/>
      <w:bookmarkEnd w:id="0"/>
    </w:p>
    <w:p w:rsidR="00B95FEB" w:rsidRDefault="00B95FEB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143B5">
        <w:rPr>
          <w:b/>
          <w:bCs/>
          <w:color w:val="000000" w:themeColor="text1"/>
          <w:sz w:val="28"/>
          <w:szCs w:val="28"/>
        </w:rPr>
        <w:t>города Боготола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FF30EE">
        <w:rPr>
          <w:b/>
          <w:bCs/>
          <w:color w:val="000000" w:themeColor="text1"/>
          <w:sz w:val="28"/>
          <w:szCs w:val="28"/>
        </w:rPr>
        <w:t>5</w:t>
      </w:r>
      <w:r w:rsidR="002A17A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год </w:t>
      </w:r>
      <w:r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3C5E2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503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1.1. Муниципальный </w:t>
      </w:r>
      <w:r w:rsidR="00463C65" w:rsidRPr="002A17A0">
        <w:rPr>
          <w:color w:val="000000" w:themeColor="text1"/>
          <w:sz w:val="28"/>
          <w:szCs w:val="28"/>
        </w:rPr>
        <w:t>контроля сфере</w:t>
      </w:r>
      <w:r w:rsidRPr="002A17A0">
        <w:rPr>
          <w:color w:val="000000" w:themeColor="text1"/>
          <w:sz w:val="28"/>
          <w:szCs w:val="28"/>
        </w:rPr>
        <w:t xml:space="preserve"> благоустройства осуществляется</w:t>
      </w:r>
      <w:r w:rsidR="0025031B" w:rsidRPr="0025031B">
        <w:t xml:space="preserve"> </w:t>
      </w:r>
      <w:r w:rsidR="0025031B" w:rsidRPr="0025031B">
        <w:rPr>
          <w:color w:val="000000" w:themeColor="text1"/>
          <w:sz w:val="28"/>
          <w:szCs w:val="28"/>
        </w:rPr>
        <w:t>отдел</w:t>
      </w:r>
      <w:r w:rsidR="0025031B">
        <w:rPr>
          <w:color w:val="000000" w:themeColor="text1"/>
          <w:sz w:val="28"/>
          <w:szCs w:val="28"/>
        </w:rPr>
        <w:t>ом</w:t>
      </w:r>
      <w:r w:rsidR="0025031B" w:rsidRPr="0025031B">
        <w:rPr>
          <w:color w:val="000000" w:themeColor="text1"/>
          <w:sz w:val="28"/>
          <w:szCs w:val="28"/>
        </w:rPr>
        <w:t xml:space="preserve"> архитектуры, градостроительства, имущественных</w:t>
      </w:r>
      <w:r w:rsidR="0025031B">
        <w:rPr>
          <w:color w:val="000000" w:themeColor="text1"/>
          <w:sz w:val="28"/>
          <w:szCs w:val="28"/>
        </w:rPr>
        <w:t xml:space="preserve"> </w:t>
      </w:r>
      <w:r w:rsidR="0025031B" w:rsidRPr="0025031B">
        <w:rPr>
          <w:color w:val="000000" w:themeColor="text1"/>
          <w:sz w:val="28"/>
          <w:szCs w:val="28"/>
        </w:rPr>
        <w:t>и земельных отношений администрации города Боготола</w:t>
      </w:r>
      <w:r w:rsidRPr="002A17A0">
        <w:rPr>
          <w:color w:val="000000" w:themeColor="text1"/>
          <w:sz w:val="28"/>
          <w:szCs w:val="28"/>
        </w:rPr>
        <w:t xml:space="preserve"> на основании Положения о муниципальном контроле в сфере благоустройства, утвержденного Решением Совета депута</w:t>
      </w:r>
      <w:r w:rsidR="0025031B">
        <w:rPr>
          <w:color w:val="000000" w:themeColor="text1"/>
          <w:sz w:val="28"/>
          <w:szCs w:val="28"/>
        </w:rPr>
        <w:t>тов муниципального образования город Боготол от 09</w:t>
      </w:r>
      <w:r w:rsidRPr="002A17A0">
        <w:rPr>
          <w:color w:val="000000" w:themeColor="text1"/>
          <w:sz w:val="28"/>
          <w:szCs w:val="28"/>
        </w:rPr>
        <w:t xml:space="preserve"> </w:t>
      </w:r>
      <w:r w:rsidR="0025031B">
        <w:rPr>
          <w:color w:val="000000" w:themeColor="text1"/>
          <w:sz w:val="28"/>
          <w:szCs w:val="28"/>
        </w:rPr>
        <w:t>декабря</w:t>
      </w:r>
      <w:r w:rsidRPr="002A17A0">
        <w:rPr>
          <w:color w:val="000000" w:themeColor="text1"/>
          <w:sz w:val="28"/>
          <w:szCs w:val="28"/>
        </w:rPr>
        <w:t xml:space="preserve"> 2021 года № </w:t>
      </w:r>
      <w:r w:rsidR="0025031B">
        <w:rPr>
          <w:color w:val="000000" w:themeColor="text1"/>
          <w:sz w:val="28"/>
          <w:szCs w:val="28"/>
        </w:rPr>
        <w:t>5-96.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</w:t>
      </w:r>
      <w:r w:rsidR="0025031B">
        <w:rPr>
          <w:color w:val="000000" w:themeColor="text1"/>
          <w:sz w:val="28"/>
          <w:szCs w:val="28"/>
        </w:rPr>
        <w:t xml:space="preserve">рии муниципального образования город Боготол </w:t>
      </w:r>
      <w:r w:rsidR="0025031B" w:rsidRPr="0025031B">
        <w:rPr>
          <w:color w:val="000000" w:themeColor="text1"/>
          <w:sz w:val="28"/>
          <w:szCs w:val="28"/>
        </w:rPr>
        <w:t>утвержденн</w:t>
      </w:r>
      <w:r w:rsidR="0025031B">
        <w:rPr>
          <w:color w:val="000000" w:themeColor="text1"/>
          <w:sz w:val="28"/>
          <w:szCs w:val="28"/>
        </w:rPr>
        <w:t>ых</w:t>
      </w:r>
      <w:r w:rsidR="0025031B" w:rsidRPr="0025031B">
        <w:rPr>
          <w:color w:val="000000" w:themeColor="text1"/>
          <w:sz w:val="28"/>
          <w:szCs w:val="28"/>
        </w:rPr>
        <w:t xml:space="preserve"> Решением Совета депутатов муниципального образования город Боготол</w:t>
      </w:r>
      <w:r w:rsidR="0025031B">
        <w:rPr>
          <w:color w:val="000000" w:themeColor="text1"/>
          <w:sz w:val="28"/>
          <w:szCs w:val="28"/>
        </w:rPr>
        <w:t xml:space="preserve"> </w:t>
      </w:r>
      <w:r w:rsidR="0025031B" w:rsidRPr="00442B27">
        <w:rPr>
          <w:sz w:val="28"/>
          <w:szCs w:val="28"/>
        </w:rPr>
        <w:t xml:space="preserve">от </w:t>
      </w:r>
      <w:r w:rsidR="00442B27" w:rsidRPr="00442B27">
        <w:rPr>
          <w:sz w:val="28"/>
          <w:szCs w:val="28"/>
        </w:rPr>
        <w:t>08</w:t>
      </w:r>
      <w:r w:rsidR="0025031B" w:rsidRPr="00442B27">
        <w:rPr>
          <w:sz w:val="28"/>
          <w:szCs w:val="28"/>
        </w:rPr>
        <w:t xml:space="preserve"> </w:t>
      </w:r>
      <w:r w:rsidR="00442B27" w:rsidRPr="00442B27">
        <w:rPr>
          <w:sz w:val="28"/>
          <w:szCs w:val="28"/>
        </w:rPr>
        <w:t xml:space="preserve">июля </w:t>
      </w:r>
      <w:r w:rsidR="0025031B" w:rsidRPr="00442B27">
        <w:rPr>
          <w:sz w:val="28"/>
          <w:szCs w:val="28"/>
        </w:rPr>
        <w:t xml:space="preserve">2021 </w:t>
      </w:r>
      <w:r w:rsidR="0025031B">
        <w:rPr>
          <w:color w:val="000000" w:themeColor="text1"/>
          <w:sz w:val="28"/>
          <w:szCs w:val="28"/>
        </w:rPr>
        <w:t>года №4-54.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1.3. Сведения о проведенных в 202</w:t>
      </w:r>
      <w:r w:rsidR="00E03372">
        <w:rPr>
          <w:color w:val="000000" w:themeColor="text1"/>
          <w:sz w:val="28"/>
          <w:szCs w:val="28"/>
        </w:rPr>
        <w:t>4</w:t>
      </w:r>
      <w:r w:rsidRPr="002A17A0">
        <w:rPr>
          <w:color w:val="000000" w:themeColor="text1"/>
          <w:sz w:val="28"/>
          <w:szCs w:val="28"/>
        </w:rPr>
        <w:t xml:space="preserve"> году мероприятиях по профилактике нарушений обязательных требований: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на официальном сайте муниципального образования </w:t>
      </w:r>
      <w:r w:rsidR="0025031B">
        <w:rPr>
          <w:color w:val="000000" w:themeColor="text1"/>
          <w:sz w:val="28"/>
          <w:szCs w:val="28"/>
        </w:rPr>
        <w:t xml:space="preserve">город Боготол Красноярского края </w:t>
      </w:r>
      <w:r w:rsidRPr="002A17A0">
        <w:rPr>
          <w:color w:val="000000" w:themeColor="text1"/>
          <w:sz w:val="28"/>
          <w:szCs w:val="28"/>
        </w:rPr>
        <w:t>размещены перечни нормативных правовых актов, содержащих обязательные требования, соблюдение которых оценивается при осуществлении муниципального контроля 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на постоянной основе осуществляется прием и консультации граждан и юридических лиц по вопросам соблюдения обязательный требований;</w:t>
      </w:r>
    </w:p>
    <w:p w:rsid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по результатам контрольных (надзорных) мероприятий без взаимодействия</w:t>
      </w:r>
      <w:r w:rsidR="0025031B">
        <w:rPr>
          <w:color w:val="000000" w:themeColor="text1"/>
          <w:sz w:val="28"/>
          <w:szCs w:val="28"/>
        </w:rPr>
        <w:t xml:space="preserve"> с контролируемым лицом выдано </w:t>
      </w:r>
      <w:r w:rsidR="009D6660" w:rsidRPr="009D6660">
        <w:rPr>
          <w:sz w:val="28"/>
          <w:szCs w:val="28"/>
        </w:rPr>
        <w:t>17</w:t>
      </w:r>
      <w:r w:rsidRPr="002A17A0">
        <w:rPr>
          <w:color w:val="000000" w:themeColor="text1"/>
          <w:sz w:val="28"/>
          <w:szCs w:val="28"/>
        </w:rPr>
        <w:t xml:space="preserve"> предписаний об устранении выявленных нарушений.</w:t>
      </w:r>
    </w:p>
    <w:p w:rsidR="00442B27" w:rsidRPr="002A17A0" w:rsidRDefault="00442B27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2024 год выдано 16 Предостережений </w:t>
      </w:r>
      <w:r w:rsidRPr="00442B27">
        <w:rPr>
          <w:color w:val="000000" w:themeColor="text1"/>
          <w:sz w:val="28"/>
          <w:szCs w:val="28"/>
        </w:rPr>
        <w:t>о недопустимости нарушения обязательных требований Правил благоустройства города Боготола» утвержденных решением Боготольского городского Совета депутатов от 08.07.2021г. №4-54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lastRenderedPageBreak/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С целью решения данных проблем Администрация муниципального образования </w:t>
      </w:r>
      <w:r w:rsidR="0025031B">
        <w:rPr>
          <w:color w:val="000000" w:themeColor="text1"/>
          <w:sz w:val="28"/>
          <w:szCs w:val="28"/>
        </w:rPr>
        <w:t xml:space="preserve">города Боготола Красноярского края </w:t>
      </w:r>
      <w:r w:rsidRPr="002A17A0">
        <w:rPr>
          <w:color w:val="000000" w:themeColor="text1"/>
          <w:sz w:val="28"/>
          <w:szCs w:val="28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2. Цели и задачи реализации программы профилактики рисков причинения вреда (ущерба) охраняемым законом ценностям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2.1. Целями профилактической работы являются: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2.2. Основными задачами профилактической работы являются: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r w:rsidRPr="002A17A0">
        <w:rPr>
          <w:color w:val="000000" w:themeColor="text1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bookmarkEnd w:id="1"/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3.1. При осуществлении муниципального контроля проводятся следующие профилактические мероприятия: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1) информирование;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2) обобщение правоприменительной практики;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4) консультирование;</w:t>
      </w:r>
    </w:p>
    <w:p w:rsid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5) профилактический визит.</w:t>
      </w:r>
    </w:p>
    <w:p w:rsidR="0025031B" w:rsidRPr="002A17A0" w:rsidRDefault="0025031B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131"/>
        <w:gridCol w:w="2940"/>
        <w:gridCol w:w="1914"/>
        <w:gridCol w:w="1949"/>
      </w:tblGrid>
      <w:tr w:rsidR="0025031B" w:rsidRPr="00952124" w:rsidTr="0025031B">
        <w:tc>
          <w:tcPr>
            <w:tcW w:w="67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25031B" w:rsidRPr="00952124" w:rsidTr="0025031B">
        <w:tc>
          <w:tcPr>
            <w:tcW w:w="675" w:type="dxa"/>
            <w:vMerge w:val="restart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vMerge w:val="restart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  <w:vMerge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25031B" w:rsidRPr="00952124" w:rsidRDefault="00463C65" w:rsidP="00463C6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  <w:vMerge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4" w:type="dxa"/>
          </w:tcPr>
          <w:p w:rsidR="0025031B" w:rsidRPr="00952124" w:rsidRDefault="0025031B" w:rsidP="00E03372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E033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25031B" w:rsidRPr="00952124" w:rsidRDefault="0025031B" w:rsidP="00FF30EE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463C65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F30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1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25031B" w:rsidRPr="00952124" w:rsidTr="0025031B">
        <w:tc>
          <w:tcPr>
            <w:tcW w:w="675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25031B" w:rsidRPr="00952124" w:rsidRDefault="0025031B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25031B" w:rsidRPr="00952124" w:rsidRDefault="00463C65" w:rsidP="003845A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C65">
              <w:rPr>
                <w:rFonts w:ascii="Times New Roman" w:hAnsi="Times New Roman" w:cs="Times New Roman"/>
                <w:sz w:val="20"/>
                <w:szCs w:val="20"/>
              </w:rPr>
              <w:t>тдел архитектуры, градостроительства, имущественных и земельных отношений администрации города Боготола</w:t>
            </w:r>
          </w:p>
        </w:tc>
      </w:tr>
    </w:tbl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доля профилактических мероприятий в объеме контрольных мероприятий, %;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Pr="002A17A0" w:rsidRDefault="002A17A0" w:rsidP="002A17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__________________________________</w:t>
      </w: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A17A0" w:rsidRDefault="002A17A0" w:rsidP="003C5E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sectPr w:rsidR="002A17A0" w:rsidSect="00442B27">
      <w:headerReference w:type="default" r:id="rId7"/>
      <w:headerReference w:type="firs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75" w:rsidRDefault="003F1875" w:rsidP="00494DD5">
      <w:r>
        <w:separator/>
      </w:r>
    </w:p>
  </w:endnote>
  <w:endnote w:type="continuationSeparator" w:id="0">
    <w:p w:rsidR="003F1875" w:rsidRDefault="003F1875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75" w:rsidRDefault="003F1875" w:rsidP="00494DD5">
      <w:r>
        <w:separator/>
      </w:r>
    </w:p>
  </w:footnote>
  <w:footnote w:type="continuationSeparator" w:id="0">
    <w:p w:rsidR="003F1875" w:rsidRDefault="003F1875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25" w:rsidRDefault="00F12F25" w:rsidP="00816F48">
    <w:pPr>
      <w:pStyle w:val="a7"/>
    </w:pPr>
  </w:p>
  <w:p w:rsidR="00F12F25" w:rsidRDefault="00F12F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39" w:rsidRDefault="00F93C39" w:rsidP="00F93C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82310"/>
    <w:rsid w:val="000B326C"/>
    <w:rsid w:val="001143B5"/>
    <w:rsid w:val="001776F2"/>
    <w:rsid w:val="001C237A"/>
    <w:rsid w:val="0025031B"/>
    <w:rsid w:val="00280669"/>
    <w:rsid w:val="002A17A0"/>
    <w:rsid w:val="002E6E21"/>
    <w:rsid w:val="003075EA"/>
    <w:rsid w:val="0034284A"/>
    <w:rsid w:val="00397C9B"/>
    <w:rsid w:val="003C5E25"/>
    <w:rsid w:val="003F1875"/>
    <w:rsid w:val="00416846"/>
    <w:rsid w:val="0044063C"/>
    <w:rsid w:val="00442B27"/>
    <w:rsid w:val="00463C65"/>
    <w:rsid w:val="004654A1"/>
    <w:rsid w:val="004800CE"/>
    <w:rsid w:val="00494DD5"/>
    <w:rsid w:val="004B0669"/>
    <w:rsid w:val="004D2ADD"/>
    <w:rsid w:val="004D7344"/>
    <w:rsid w:val="00582B73"/>
    <w:rsid w:val="005C3E58"/>
    <w:rsid w:val="00613D86"/>
    <w:rsid w:val="0065668C"/>
    <w:rsid w:val="006A0973"/>
    <w:rsid w:val="006A3562"/>
    <w:rsid w:val="006A3E2A"/>
    <w:rsid w:val="007112E0"/>
    <w:rsid w:val="0074315A"/>
    <w:rsid w:val="007A0519"/>
    <w:rsid w:val="007F1B3D"/>
    <w:rsid w:val="00816F48"/>
    <w:rsid w:val="00885205"/>
    <w:rsid w:val="00892A47"/>
    <w:rsid w:val="008F347F"/>
    <w:rsid w:val="008F4B09"/>
    <w:rsid w:val="0094545B"/>
    <w:rsid w:val="00976235"/>
    <w:rsid w:val="009A4D64"/>
    <w:rsid w:val="009B01FC"/>
    <w:rsid w:val="009D6660"/>
    <w:rsid w:val="00AB45D0"/>
    <w:rsid w:val="00B95FEB"/>
    <w:rsid w:val="00BC664C"/>
    <w:rsid w:val="00C152B3"/>
    <w:rsid w:val="00C646E2"/>
    <w:rsid w:val="00CF4AAE"/>
    <w:rsid w:val="00D53E14"/>
    <w:rsid w:val="00D81227"/>
    <w:rsid w:val="00D96BF0"/>
    <w:rsid w:val="00E03372"/>
    <w:rsid w:val="00EC1AE9"/>
    <w:rsid w:val="00EE3C52"/>
    <w:rsid w:val="00F12F25"/>
    <w:rsid w:val="00F16E8B"/>
    <w:rsid w:val="00F54E91"/>
    <w:rsid w:val="00F93C39"/>
    <w:rsid w:val="00F97351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F411"/>
  <w15:docId w15:val="{0E7CA28A-F3E8-457A-89ED-7F5C64C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25031B"/>
    <w:pPr>
      <w:spacing w:after="0" w:line="240" w:lineRule="auto"/>
    </w:pPr>
  </w:style>
  <w:style w:type="table" w:styleId="ac">
    <w:name w:val="Table Grid"/>
    <w:basedOn w:val="a1"/>
    <w:uiPriority w:val="59"/>
    <w:rsid w:val="0025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7</cp:revision>
  <dcterms:created xsi:type="dcterms:W3CDTF">2023-09-28T07:54:00Z</dcterms:created>
  <dcterms:modified xsi:type="dcterms:W3CDTF">2024-10-07T03:50:00Z</dcterms:modified>
</cp:coreProperties>
</file>