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D6701" w:rsidRP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D6701">
        <w:rPr>
          <w:rFonts w:ascii="Times New Roman" w:hAnsi="Times New Roman" w:cs="Times New Roman"/>
          <w:b/>
          <w:sz w:val="52"/>
          <w:szCs w:val="52"/>
        </w:rPr>
        <w:t xml:space="preserve">Итоги социально-экономического развития муниципального образования </w:t>
      </w:r>
      <w:r w:rsidR="00B34E55">
        <w:rPr>
          <w:rFonts w:ascii="Times New Roman" w:hAnsi="Times New Roman" w:cs="Times New Roman"/>
          <w:b/>
          <w:sz w:val="52"/>
          <w:szCs w:val="52"/>
        </w:rPr>
        <w:t xml:space="preserve">город </w:t>
      </w:r>
      <w:r w:rsidRPr="005D6701">
        <w:rPr>
          <w:rFonts w:ascii="Times New Roman" w:hAnsi="Times New Roman" w:cs="Times New Roman"/>
          <w:b/>
          <w:sz w:val="52"/>
          <w:szCs w:val="52"/>
        </w:rPr>
        <w:t>Боготол</w:t>
      </w:r>
    </w:p>
    <w:p w:rsidR="005D6701" w:rsidRPr="005D6701" w:rsidRDefault="00177B5D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за январь – июнь 20</w:t>
      </w:r>
      <w:r w:rsidR="005D790F">
        <w:rPr>
          <w:rFonts w:ascii="Times New Roman" w:hAnsi="Times New Roman" w:cs="Times New Roman"/>
          <w:b/>
          <w:sz w:val="52"/>
          <w:szCs w:val="52"/>
        </w:rPr>
        <w:t>2</w:t>
      </w:r>
      <w:r w:rsidR="00E96E28">
        <w:rPr>
          <w:rFonts w:ascii="Times New Roman" w:hAnsi="Times New Roman" w:cs="Times New Roman"/>
          <w:b/>
          <w:sz w:val="52"/>
          <w:szCs w:val="52"/>
        </w:rPr>
        <w:t>2</w:t>
      </w:r>
      <w:r w:rsidR="005D6701" w:rsidRPr="005D6701">
        <w:rPr>
          <w:rFonts w:ascii="Times New Roman" w:hAnsi="Times New Roman" w:cs="Times New Roman"/>
          <w:b/>
          <w:sz w:val="52"/>
          <w:szCs w:val="52"/>
        </w:rPr>
        <w:t xml:space="preserve"> года</w:t>
      </w:r>
    </w:p>
    <w:p w:rsidR="005D6701" w:rsidRP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D6701">
        <w:rPr>
          <w:rFonts w:ascii="Times New Roman" w:hAnsi="Times New Roman" w:cs="Times New Roman"/>
          <w:b/>
          <w:sz w:val="52"/>
          <w:szCs w:val="52"/>
        </w:rPr>
        <w:t>и оценка предполагаемых итогов</w:t>
      </w:r>
    </w:p>
    <w:p w:rsidR="005D6701" w:rsidRPr="005D6701" w:rsidRDefault="005D6701" w:rsidP="001254F5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D6701">
        <w:rPr>
          <w:rFonts w:ascii="Times New Roman" w:hAnsi="Times New Roman" w:cs="Times New Roman"/>
          <w:b/>
          <w:sz w:val="52"/>
          <w:szCs w:val="52"/>
        </w:rPr>
        <w:t>на 20</w:t>
      </w:r>
      <w:r w:rsidR="005D790F">
        <w:rPr>
          <w:rFonts w:ascii="Times New Roman" w:hAnsi="Times New Roman" w:cs="Times New Roman"/>
          <w:b/>
          <w:sz w:val="52"/>
          <w:szCs w:val="52"/>
        </w:rPr>
        <w:t>2</w:t>
      </w:r>
      <w:r w:rsidR="00E96E28">
        <w:rPr>
          <w:rFonts w:ascii="Times New Roman" w:hAnsi="Times New Roman" w:cs="Times New Roman"/>
          <w:b/>
          <w:sz w:val="52"/>
          <w:szCs w:val="52"/>
        </w:rPr>
        <w:t>2</w:t>
      </w:r>
      <w:r w:rsidRPr="005D6701">
        <w:rPr>
          <w:rFonts w:ascii="Times New Roman" w:hAnsi="Times New Roman" w:cs="Times New Roman"/>
          <w:b/>
          <w:sz w:val="52"/>
          <w:szCs w:val="52"/>
        </w:rPr>
        <w:t xml:space="preserve"> год</w:t>
      </w:r>
    </w:p>
    <w:p w:rsidR="005D6701" w:rsidRP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D6701" w:rsidRPr="005D6701" w:rsidRDefault="005D6701" w:rsidP="005D6701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P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70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ОГЛАВЛЕНИЕ </w:t>
      </w:r>
    </w:p>
    <w:p w:rsidR="005D6701" w:rsidRPr="003152D2" w:rsidRDefault="001B4C93" w:rsidP="005D6701">
      <w:pPr>
        <w:pStyle w:val="1"/>
        <w:rPr>
          <w:rFonts w:asciiTheme="minorHAnsi" w:eastAsiaTheme="minorEastAsia" w:hAnsiTheme="minorHAnsi" w:cstheme="minorBidi"/>
          <w:kern w:val="0"/>
        </w:rPr>
      </w:pPr>
      <w:r w:rsidRPr="001B4C93">
        <w:fldChar w:fldCharType="begin"/>
      </w:r>
      <w:r w:rsidR="005D6701" w:rsidRPr="003152D2">
        <w:instrText xml:space="preserve"> TOC \o "1-3" \n \h \z \u </w:instrText>
      </w:r>
      <w:r w:rsidRPr="001B4C93">
        <w:fldChar w:fldCharType="separate"/>
      </w:r>
    </w:p>
    <w:p w:rsidR="009C4A61" w:rsidRPr="003152D2" w:rsidRDefault="009C4A61" w:rsidP="003152D2">
      <w:pPr>
        <w:pStyle w:val="2"/>
        <w:jc w:val="both"/>
      </w:pPr>
      <w:r w:rsidRPr="003152D2">
        <w:t>1. Демографическая ситуация</w:t>
      </w:r>
      <w:r w:rsidR="003152D2">
        <w:t>………………………………………………..3</w:t>
      </w:r>
    </w:p>
    <w:p w:rsidR="009C4A61" w:rsidRPr="003152D2" w:rsidRDefault="009C4A61" w:rsidP="003152D2">
      <w:pPr>
        <w:pStyle w:val="2"/>
        <w:jc w:val="both"/>
      </w:pPr>
      <w:r w:rsidRPr="003152D2">
        <w:t>2. Рынок труда</w:t>
      </w:r>
      <w:r w:rsidR="003152D2">
        <w:t>…………………………………………………………………..</w:t>
      </w:r>
      <w:r w:rsidR="00F46FBB">
        <w:t>.</w:t>
      </w:r>
      <w:r w:rsidR="003152D2">
        <w:t>3</w:t>
      </w:r>
    </w:p>
    <w:p w:rsidR="005D6701" w:rsidRPr="003152D2" w:rsidRDefault="009C4A61" w:rsidP="003152D2">
      <w:pPr>
        <w:pStyle w:val="2"/>
        <w:jc w:val="both"/>
        <w:rPr>
          <w:rFonts w:eastAsiaTheme="minorEastAsia"/>
        </w:rPr>
      </w:pPr>
      <w:r w:rsidRPr="003152D2">
        <w:t>3. Промышленность</w:t>
      </w:r>
      <w:r w:rsidR="003152D2">
        <w:t>…………………………………………………………....</w:t>
      </w:r>
      <w:r w:rsidR="00F46FBB">
        <w:t>.</w:t>
      </w:r>
      <w:r w:rsidR="003152D2">
        <w:t>4</w:t>
      </w:r>
      <w:hyperlink w:anchor="_Toc495495121" w:history="1"/>
    </w:p>
    <w:p w:rsidR="005D6701" w:rsidRPr="003152D2" w:rsidRDefault="009C4A61" w:rsidP="003152D2">
      <w:pPr>
        <w:pStyle w:val="3"/>
        <w:contextualSpacing/>
        <w:jc w:val="both"/>
        <w:rPr>
          <w:rFonts w:eastAsiaTheme="minorEastAsia"/>
          <w:b w:val="0"/>
          <w:iCs w:val="0"/>
          <w:sz w:val="28"/>
          <w:szCs w:val="28"/>
        </w:rPr>
      </w:pPr>
      <w:r w:rsidRPr="003152D2">
        <w:rPr>
          <w:rFonts w:eastAsiaTheme="minorEastAsia"/>
          <w:b w:val="0"/>
          <w:iCs w:val="0"/>
          <w:sz w:val="28"/>
          <w:szCs w:val="28"/>
        </w:rPr>
        <w:t>Объем отгруженной продукции по видам деятельности</w:t>
      </w:r>
      <w:r w:rsidR="003152D2">
        <w:rPr>
          <w:rFonts w:eastAsiaTheme="minorEastAsia"/>
          <w:b w:val="0"/>
          <w:iCs w:val="0"/>
          <w:sz w:val="28"/>
          <w:szCs w:val="28"/>
        </w:rPr>
        <w:t>…………………</w:t>
      </w:r>
      <w:r w:rsidR="00C145AC">
        <w:rPr>
          <w:rFonts w:eastAsiaTheme="minorEastAsia"/>
          <w:b w:val="0"/>
          <w:iCs w:val="0"/>
          <w:sz w:val="28"/>
          <w:szCs w:val="28"/>
        </w:rPr>
        <w:t>.</w:t>
      </w:r>
      <w:r w:rsidR="003152D2">
        <w:rPr>
          <w:rFonts w:eastAsiaTheme="minorEastAsia"/>
          <w:b w:val="0"/>
          <w:iCs w:val="0"/>
          <w:sz w:val="28"/>
          <w:szCs w:val="28"/>
        </w:rPr>
        <w:t>..4</w:t>
      </w:r>
    </w:p>
    <w:p w:rsidR="005D6701" w:rsidRPr="003152D2" w:rsidRDefault="009C4A61" w:rsidP="003152D2">
      <w:pPr>
        <w:pStyle w:val="2"/>
        <w:jc w:val="both"/>
        <w:rPr>
          <w:rFonts w:eastAsiaTheme="minorEastAsia"/>
        </w:rPr>
      </w:pPr>
      <w:r w:rsidRPr="003152D2">
        <w:t xml:space="preserve">4. </w:t>
      </w:r>
      <w:hyperlink w:anchor="_Toc495495125" w:history="1">
        <w:r w:rsidR="005D6701" w:rsidRPr="003152D2">
          <w:rPr>
            <w:rStyle w:val="a9"/>
          </w:rPr>
          <w:t>Сельское хозяйство</w:t>
        </w:r>
      </w:hyperlink>
      <w:r w:rsidRPr="003152D2">
        <w:t>, лесное хозяйство</w:t>
      </w:r>
      <w:r w:rsidR="003152D2">
        <w:t>………………………………….</w:t>
      </w:r>
      <w:r w:rsidR="00C145AC">
        <w:t>.</w:t>
      </w:r>
      <w:r w:rsidR="003152D2">
        <w:t>.6</w:t>
      </w:r>
    </w:p>
    <w:p w:rsidR="005D6701" w:rsidRPr="003152D2" w:rsidRDefault="009C4A61" w:rsidP="003152D2">
      <w:pPr>
        <w:pStyle w:val="2"/>
        <w:jc w:val="both"/>
        <w:rPr>
          <w:rFonts w:eastAsiaTheme="minorEastAsia"/>
        </w:rPr>
      </w:pPr>
      <w:r w:rsidRPr="003152D2">
        <w:t>5. Малое и среднее предпринимательство</w:t>
      </w:r>
      <w:r w:rsidR="003152D2">
        <w:t>…………………………………..6</w:t>
      </w:r>
      <w:r w:rsidRPr="003152D2">
        <w:rPr>
          <w:rFonts w:eastAsiaTheme="minorEastAsia"/>
        </w:rPr>
        <w:t xml:space="preserve"> </w:t>
      </w:r>
    </w:p>
    <w:p w:rsidR="009C4A61" w:rsidRPr="003152D2" w:rsidRDefault="009C4A61" w:rsidP="003152D2">
      <w:pPr>
        <w:pStyle w:val="2"/>
        <w:jc w:val="both"/>
      </w:pPr>
      <w:r w:rsidRPr="003152D2">
        <w:t>6. Инвестиции</w:t>
      </w:r>
      <w:r w:rsidR="003152D2">
        <w:t>…………………………………………………………………...7</w:t>
      </w:r>
      <w:r w:rsidRPr="003152D2">
        <w:t xml:space="preserve"> </w:t>
      </w:r>
    </w:p>
    <w:p w:rsidR="005D6701" w:rsidRPr="003152D2" w:rsidRDefault="009C4A61" w:rsidP="003152D2">
      <w:pPr>
        <w:pStyle w:val="2"/>
        <w:jc w:val="both"/>
      </w:pPr>
      <w:r w:rsidRPr="003152D2">
        <w:t xml:space="preserve">7. </w:t>
      </w:r>
      <w:hyperlink w:anchor="_Toc495495131" w:history="1">
        <w:r w:rsidR="005D6701" w:rsidRPr="003152D2">
          <w:rPr>
            <w:rStyle w:val="a9"/>
          </w:rPr>
          <w:t>Строительство</w:t>
        </w:r>
      </w:hyperlink>
      <w:r w:rsidR="003152D2" w:rsidRPr="003152D2">
        <w:rPr>
          <w:rStyle w:val="a9"/>
          <w:color w:val="auto"/>
          <w:u w:val="none"/>
        </w:rPr>
        <w:t>………………………………………………………………..7</w:t>
      </w:r>
    </w:p>
    <w:p w:rsidR="00A53BC1" w:rsidRPr="003152D2" w:rsidRDefault="00C145AC" w:rsidP="003152D2">
      <w:pPr>
        <w:tabs>
          <w:tab w:val="left" w:pos="142"/>
        </w:tabs>
        <w:ind w:left="142"/>
        <w:contextualSpacing/>
        <w:jc w:val="both"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mallCaps/>
          <w:sz w:val="28"/>
          <w:szCs w:val="28"/>
        </w:rPr>
        <w:t>8</w:t>
      </w:r>
      <w:r w:rsidR="00A53BC1" w:rsidRPr="003152D2">
        <w:rPr>
          <w:rFonts w:ascii="Times New Roman" w:hAnsi="Times New Roman" w:cs="Times New Roman"/>
          <w:smallCaps/>
          <w:sz w:val="28"/>
          <w:szCs w:val="28"/>
        </w:rPr>
        <w:t>. Бюджет муниципального образования</w:t>
      </w:r>
      <w:r w:rsidR="00DD7712">
        <w:rPr>
          <w:rFonts w:ascii="Times New Roman" w:hAnsi="Times New Roman" w:cs="Times New Roman"/>
          <w:smallCaps/>
          <w:sz w:val="28"/>
          <w:szCs w:val="28"/>
        </w:rPr>
        <w:t>………………………………...…</w:t>
      </w:r>
      <w:r>
        <w:rPr>
          <w:rFonts w:ascii="Times New Roman" w:hAnsi="Times New Roman" w:cs="Times New Roman"/>
          <w:smallCaps/>
          <w:sz w:val="28"/>
          <w:szCs w:val="28"/>
        </w:rPr>
        <w:t>8</w:t>
      </w:r>
    </w:p>
    <w:p w:rsidR="00A53BC1" w:rsidRPr="003152D2" w:rsidRDefault="00C145AC" w:rsidP="003152D2">
      <w:pPr>
        <w:tabs>
          <w:tab w:val="left" w:pos="142"/>
        </w:tabs>
        <w:ind w:left="142"/>
        <w:contextualSpacing/>
        <w:jc w:val="both"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mallCaps/>
          <w:sz w:val="28"/>
          <w:szCs w:val="28"/>
        </w:rPr>
        <w:t>9</w:t>
      </w:r>
      <w:r w:rsidR="00A53BC1" w:rsidRPr="003152D2">
        <w:rPr>
          <w:rFonts w:ascii="Times New Roman" w:hAnsi="Times New Roman" w:cs="Times New Roman"/>
          <w:smallCaps/>
          <w:sz w:val="28"/>
          <w:szCs w:val="28"/>
        </w:rPr>
        <w:t>. Торговля, общественное питание</w:t>
      </w:r>
      <w:r w:rsidR="003152D2">
        <w:rPr>
          <w:rFonts w:ascii="Times New Roman" w:hAnsi="Times New Roman" w:cs="Times New Roman"/>
          <w:smallCaps/>
          <w:sz w:val="28"/>
          <w:szCs w:val="28"/>
        </w:rPr>
        <w:t>………………………………………</w:t>
      </w:r>
      <w:r>
        <w:rPr>
          <w:rFonts w:ascii="Times New Roman" w:hAnsi="Times New Roman" w:cs="Times New Roman"/>
          <w:smallCaps/>
          <w:sz w:val="28"/>
          <w:szCs w:val="28"/>
        </w:rPr>
        <w:t>..</w:t>
      </w:r>
      <w:r w:rsidR="003152D2">
        <w:rPr>
          <w:rFonts w:ascii="Times New Roman" w:hAnsi="Times New Roman" w:cs="Times New Roman"/>
          <w:smallCaps/>
          <w:sz w:val="28"/>
          <w:szCs w:val="28"/>
        </w:rPr>
        <w:t>...9</w:t>
      </w:r>
    </w:p>
    <w:p w:rsidR="005D6701" w:rsidRPr="003152D2" w:rsidRDefault="00A53BC1" w:rsidP="003152D2">
      <w:pPr>
        <w:tabs>
          <w:tab w:val="left" w:pos="142"/>
        </w:tabs>
        <w:ind w:left="142"/>
        <w:contextualSpacing/>
        <w:jc w:val="both"/>
        <w:rPr>
          <w:rFonts w:ascii="Times New Roman" w:hAnsi="Times New Roman" w:cs="Times New Roman"/>
          <w:smallCaps/>
          <w:sz w:val="28"/>
          <w:szCs w:val="28"/>
        </w:rPr>
      </w:pPr>
      <w:r w:rsidRPr="003152D2">
        <w:rPr>
          <w:rFonts w:ascii="Times New Roman" w:hAnsi="Times New Roman" w:cs="Times New Roman"/>
          <w:smallCaps/>
          <w:sz w:val="28"/>
          <w:szCs w:val="28"/>
        </w:rPr>
        <w:t>1</w:t>
      </w:r>
      <w:r w:rsidR="00C145AC">
        <w:rPr>
          <w:rFonts w:ascii="Times New Roman" w:hAnsi="Times New Roman" w:cs="Times New Roman"/>
          <w:smallCaps/>
          <w:sz w:val="28"/>
          <w:szCs w:val="28"/>
        </w:rPr>
        <w:t>0</w:t>
      </w:r>
      <w:r w:rsidRPr="003152D2">
        <w:rPr>
          <w:rFonts w:ascii="Times New Roman" w:hAnsi="Times New Roman" w:cs="Times New Roman"/>
          <w:smallCaps/>
          <w:sz w:val="28"/>
          <w:szCs w:val="28"/>
        </w:rPr>
        <w:t xml:space="preserve">. </w:t>
      </w:r>
      <w:hyperlink w:anchor="_Toc495495132" w:history="1">
        <w:r w:rsidR="005D6701" w:rsidRPr="003152D2">
          <w:rPr>
            <w:rStyle w:val="a9"/>
            <w:rFonts w:ascii="Times New Roman" w:hAnsi="Times New Roman" w:cs="Times New Roman"/>
            <w:smallCaps/>
            <w:sz w:val="28"/>
            <w:szCs w:val="28"/>
          </w:rPr>
          <w:t>Жилищно-коммунальное хозяйство</w:t>
        </w:r>
      </w:hyperlink>
      <w:r w:rsidR="00DD7712">
        <w:rPr>
          <w:rStyle w:val="a9"/>
          <w:rFonts w:ascii="Times New Roman" w:hAnsi="Times New Roman" w:cs="Times New Roman"/>
          <w:smallCaps/>
          <w:color w:val="auto"/>
          <w:sz w:val="28"/>
          <w:szCs w:val="28"/>
          <w:u w:val="none"/>
        </w:rPr>
        <w:t>…………………………………...10</w:t>
      </w:r>
    </w:p>
    <w:p w:rsidR="00A53BC1" w:rsidRPr="003152D2" w:rsidRDefault="00C145AC" w:rsidP="003152D2">
      <w:pPr>
        <w:tabs>
          <w:tab w:val="left" w:pos="142"/>
        </w:tabs>
        <w:ind w:left="142"/>
        <w:contextualSpacing/>
        <w:jc w:val="both"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mallCaps/>
          <w:sz w:val="28"/>
          <w:szCs w:val="28"/>
        </w:rPr>
        <w:t>11</w:t>
      </w:r>
      <w:r w:rsidR="00A53BC1" w:rsidRPr="003152D2">
        <w:rPr>
          <w:rFonts w:ascii="Times New Roman" w:hAnsi="Times New Roman" w:cs="Times New Roman"/>
          <w:smallCaps/>
          <w:sz w:val="28"/>
          <w:szCs w:val="28"/>
        </w:rPr>
        <w:t>. Платные услуги населению</w:t>
      </w:r>
      <w:r w:rsidR="00685437">
        <w:rPr>
          <w:rFonts w:ascii="Times New Roman" w:hAnsi="Times New Roman" w:cs="Times New Roman"/>
          <w:smallCaps/>
          <w:sz w:val="28"/>
          <w:szCs w:val="28"/>
        </w:rPr>
        <w:t>………………………………………..……1</w:t>
      </w:r>
      <w:r>
        <w:rPr>
          <w:rFonts w:ascii="Times New Roman" w:hAnsi="Times New Roman" w:cs="Times New Roman"/>
          <w:smallCaps/>
          <w:sz w:val="28"/>
          <w:szCs w:val="28"/>
        </w:rPr>
        <w:t>0</w:t>
      </w:r>
    </w:p>
    <w:p w:rsidR="00A53BC1" w:rsidRPr="003152D2" w:rsidRDefault="00C145AC" w:rsidP="003152D2">
      <w:pPr>
        <w:tabs>
          <w:tab w:val="left" w:pos="142"/>
        </w:tabs>
        <w:ind w:left="142"/>
        <w:contextualSpacing/>
        <w:jc w:val="both"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mallCaps/>
          <w:sz w:val="28"/>
          <w:szCs w:val="28"/>
        </w:rPr>
        <w:t>12</w:t>
      </w:r>
      <w:r w:rsidR="00A53BC1" w:rsidRPr="003152D2">
        <w:rPr>
          <w:rFonts w:ascii="Times New Roman" w:hAnsi="Times New Roman" w:cs="Times New Roman"/>
          <w:smallCaps/>
          <w:sz w:val="28"/>
          <w:szCs w:val="28"/>
        </w:rPr>
        <w:t>. Уровень жизни населения</w:t>
      </w:r>
      <w:r w:rsidR="003152D2">
        <w:rPr>
          <w:rFonts w:ascii="Times New Roman" w:hAnsi="Times New Roman" w:cs="Times New Roman"/>
          <w:smallCaps/>
          <w:sz w:val="28"/>
          <w:szCs w:val="28"/>
        </w:rPr>
        <w:t>………………………………………………..11</w:t>
      </w:r>
    </w:p>
    <w:p w:rsidR="005D6701" w:rsidRDefault="001B4C93" w:rsidP="005D6701">
      <w:pPr>
        <w:ind w:firstLine="56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3152D2">
        <w:rPr>
          <w:rFonts w:ascii="Times New Roman" w:hAnsi="Times New Roman" w:cs="Times New Roman"/>
          <w:b/>
          <w:noProof/>
          <w:sz w:val="28"/>
          <w:szCs w:val="28"/>
        </w:rPr>
        <w:fldChar w:fldCharType="end"/>
      </w:r>
    </w:p>
    <w:p w:rsidR="005D6701" w:rsidRDefault="005D670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D6701" w:rsidRDefault="005D670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145AC" w:rsidRDefault="00C145AC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D6701" w:rsidRPr="00713404" w:rsidRDefault="005D6701" w:rsidP="005C40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077">
        <w:rPr>
          <w:rFonts w:ascii="Times New Roman" w:hAnsi="Times New Roman" w:cs="Times New Roman"/>
          <w:sz w:val="28"/>
          <w:szCs w:val="28"/>
        </w:rPr>
        <w:lastRenderedPageBreak/>
        <w:t xml:space="preserve">При подготовке итогов социально-экономического развития </w:t>
      </w:r>
      <w:r w:rsidR="005C407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C4077" w:rsidRPr="0071340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B34E55" w:rsidRPr="00713404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5C4077" w:rsidRPr="00713404">
        <w:rPr>
          <w:rFonts w:ascii="Times New Roman" w:hAnsi="Times New Roman" w:cs="Times New Roman"/>
          <w:sz w:val="28"/>
          <w:szCs w:val="28"/>
        </w:rPr>
        <w:t xml:space="preserve">Боготол </w:t>
      </w:r>
      <w:r w:rsidRPr="00713404">
        <w:rPr>
          <w:rFonts w:ascii="Times New Roman" w:hAnsi="Times New Roman" w:cs="Times New Roman"/>
          <w:sz w:val="28"/>
          <w:szCs w:val="28"/>
        </w:rPr>
        <w:t>за январь – июнь 20</w:t>
      </w:r>
      <w:r w:rsidR="00D13C97">
        <w:rPr>
          <w:rFonts w:ascii="Times New Roman" w:hAnsi="Times New Roman" w:cs="Times New Roman"/>
          <w:sz w:val="28"/>
          <w:szCs w:val="28"/>
        </w:rPr>
        <w:t>2</w:t>
      </w:r>
      <w:r w:rsidR="00E96E28">
        <w:rPr>
          <w:rFonts w:ascii="Times New Roman" w:hAnsi="Times New Roman" w:cs="Times New Roman"/>
          <w:sz w:val="28"/>
          <w:szCs w:val="28"/>
        </w:rPr>
        <w:t>2</w:t>
      </w:r>
      <w:r w:rsidRPr="00713404">
        <w:rPr>
          <w:rFonts w:ascii="Times New Roman" w:hAnsi="Times New Roman" w:cs="Times New Roman"/>
          <w:sz w:val="28"/>
          <w:szCs w:val="28"/>
        </w:rPr>
        <w:t xml:space="preserve"> года использованы данные управления Федеральной службы государственной статистики по Красноярскому краю, республике Хакасия и республике Тыва (далее</w:t>
      </w:r>
      <w:r w:rsidR="00D84BA8">
        <w:rPr>
          <w:rFonts w:ascii="Times New Roman" w:hAnsi="Times New Roman" w:cs="Times New Roman"/>
          <w:sz w:val="28"/>
          <w:szCs w:val="28"/>
        </w:rPr>
        <w:t xml:space="preserve"> </w:t>
      </w:r>
      <w:r w:rsidRPr="00713404">
        <w:rPr>
          <w:rFonts w:ascii="Times New Roman" w:hAnsi="Times New Roman" w:cs="Times New Roman"/>
          <w:sz w:val="28"/>
          <w:szCs w:val="28"/>
        </w:rPr>
        <w:t>–</w:t>
      </w:r>
      <w:r w:rsidR="00D84B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404">
        <w:rPr>
          <w:rFonts w:ascii="Times New Roman" w:hAnsi="Times New Roman" w:cs="Times New Roman"/>
          <w:sz w:val="28"/>
          <w:szCs w:val="28"/>
        </w:rPr>
        <w:t>Красноярскстат</w:t>
      </w:r>
      <w:proofErr w:type="spellEnd"/>
      <w:r w:rsidRPr="00713404">
        <w:rPr>
          <w:rFonts w:ascii="Times New Roman" w:hAnsi="Times New Roman" w:cs="Times New Roman"/>
          <w:sz w:val="28"/>
          <w:szCs w:val="28"/>
        </w:rPr>
        <w:t>).</w:t>
      </w:r>
    </w:p>
    <w:p w:rsidR="00B34E55" w:rsidRPr="00713404" w:rsidRDefault="00B34E55" w:rsidP="005C40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138D" w:rsidRPr="00713404" w:rsidRDefault="008F59B0" w:rsidP="005C4077">
      <w:pPr>
        <w:pStyle w:val="a4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713404">
        <w:rPr>
          <w:b/>
          <w:sz w:val="28"/>
          <w:szCs w:val="28"/>
        </w:rPr>
        <w:t>Демографическая ситуация</w:t>
      </w:r>
    </w:p>
    <w:p w:rsidR="00B34E55" w:rsidRPr="00713404" w:rsidRDefault="00B34E55" w:rsidP="00B34E55">
      <w:pPr>
        <w:pStyle w:val="a4"/>
        <w:ind w:left="927"/>
        <w:rPr>
          <w:b/>
          <w:sz w:val="28"/>
          <w:szCs w:val="28"/>
        </w:rPr>
      </w:pPr>
    </w:p>
    <w:p w:rsidR="008F59B0" w:rsidRPr="00713404" w:rsidRDefault="008F59B0" w:rsidP="008F59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Численность постоянного населения в среднем за </w:t>
      </w:r>
      <w:r w:rsidR="008E0263">
        <w:rPr>
          <w:rFonts w:ascii="Times New Roman CYR" w:hAnsi="Times New Roman CYR" w:cs="Times New Roman CYR"/>
          <w:sz w:val="28"/>
          <w:szCs w:val="28"/>
          <w:u w:color="FF0000"/>
        </w:rPr>
        <w:t xml:space="preserve">1-е </w:t>
      </w: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>полугодие 20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 составила </w:t>
      </w:r>
      <w:r w:rsidR="0055166E" w:rsidRPr="00713404">
        <w:rPr>
          <w:rFonts w:ascii="Times New Roman CYR" w:hAnsi="Times New Roman CYR" w:cs="Times New Roman CYR"/>
          <w:sz w:val="28"/>
          <w:szCs w:val="28"/>
          <w:u w:color="FF0000"/>
        </w:rPr>
        <w:t>1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8</w:t>
      </w:r>
      <w:r w:rsidR="0055166E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754</w:t>
      </w: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человек.</w:t>
      </w:r>
      <w:r w:rsidR="0055166E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В оценке 20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420EB0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 – 1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8</w:t>
      </w:r>
      <w:r w:rsidR="00420EB0" w:rsidRPr="00713404">
        <w:rPr>
          <w:rFonts w:ascii="Times New Roman CYR" w:hAnsi="Times New Roman CYR" w:cs="Times New Roman CYR"/>
          <w:sz w:val="28"/>
          <w:szCs w:val="28"/>
          <w:u w:color="FF0000"/>
        </w:rPr>
        <w:t> 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604</w:t>
      </w:r>
      <w:r w:rsidR="008E0263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</w:t>
      </w:r>
      <w:r w:rsidR="00420EB0" w:rsidRPr="00713404"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8F59B0" w:rsidRDefault="008F59B0" w:rsidP="008F59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Естественная убыль населения за </w:t>
      </w:r>
      <w:r w:rsidR="008E0263">
        <w:rPr>
          <w:rFonts w:ascii="Times New Roman CYR" w:hAnsi="Times New Roman CYR" w:cs="Times New Roman CYR"/>
          <w:sz w:val="28"/>
          <w:szCs w:val="28"/>
          <w:u w:color="FF0000"/>
        </w:rPr>
        <w:t xml:space="preserve">1-е 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полугодие 202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8E0263">
        <w:rPr>
          <w:rFonts w:ascii="Times New Roman CYR" w:hAnsi="Times New Roman CYR" w:cs="Times New Roman CYR"/>
          <w:sz w:val="28"/>
          <w:szCs w:val="28"/>
          <w:u w:color="FF0000"/>
        </w:rPr>
        <w:t xml:space="preserve"> составила</w:t>
      </w:r>
      <w:r w:rsidR="000F3378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8</w:t>
      </w:r>
      <w:r w:rsidR="00D13C97">
        <w:rPr>
          <w:rFonts w:ascii="Times New Roman CYR" w:hAnsi="Times New Roman CYR" w:cs="Times New Roman CYR"/>
          <w:sz w:val="28"/>
          <w:szCs w:val="28"/>
          <w:u w:color="FF0000"/>
        </w:rPr>
        <w:t>7</w:t>
      </w:r>
      <w:r w:rsidR="0055166E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а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 xml:space="preserve"> (смертность – 167 человек, рождаемость – 80</w:t>
      </w:r>
      <w:r w:rsidR="008E0263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</w:t>
      </w:r>
      <w:r w:rsidR="00D13C97">
        <w:rPr>
          <w:rFonts w:ascii="Times New Roman CYR" w:hAnsi="Times New Roman CYR" w:cs="Times New Roman CYR"/>
          <w:sz w:val="28"/>
          <w:szCs w:val="28"/>
          <w:u w:color="FF0000"/>
        </w:rPr>
        <w:t>а</w:t>
      </w:r>
      <w:r w:rsidR="008E0263">
        <w:rPr>
          <w:rFonts w:ascii="Times New Roman CYR" w:hAnsi="Times New Roman CYR" w:cs="Times New Roman CYR"/>
          <w:sz w:val="28"/>
          <w:szCs w:val="28"/>
          <w:u w:color="FF0000"/>
        </w:rPr>
        <w:t xml:space="preserve">), </w:t>
      </w:r>
      <w:r w:rsidR="000F3378" w:rsidRPr="00713404">
        <w:rPr>
          <w:rFonts w:ascii="Times New Roman CYR" w:hAnsi="Times New Roman CYR" w:cs="Times New Roman CYR"/>
          <w:sz w:val="28"/>
          <w:szCs w:val="28"/>
          <w:u w:color="FF0000"/>
        </w:rPr>
        <w:t>достигнув показателя в оценке 20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025F19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 до 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37,8%.</w:t>
      </w:r>
    </w:p>
    <w:p w:rsidR="008F59B0" w:rsidRDefault="0055166E" w:rsidP="008F59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Миграционн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ое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снижение</w:t>
      </w:r>
      <w:r w:rsidR="000F3378">
        <w:rPr>
          <w:rFonts w:ascii="Times New Roman CYR" w:hAnsi="Times New Roman CYR" w:cs="Times New Roman CYR"/>
          <w:sz w:val="28"/>
          <w:szCs w:val="28"/>
          <w:u w:color="FF0000"/>
        </w:rPr>
        <w:t xml:space="preserve"> населения за </w:t>
      </w:r>
      <w:r w:rsidR="002E1B03">
        <w:rPr>
          <w:rFonts w:ascii="Times New Roman CYR" w:hAnsi="Times New Roman CYR" w:cs="Times New Roman CYR"/>
          <w:sz w:val="28"/>
          <w:szCs w:val="28"/>
          <w:u w:color="FF0000"/>
        </w:rPr>
        <w:t xml:space="preserve">1-е </w:t>
      </w:r>
      <w:r w:rsidR="000F3378">
        <w:rPr>
          <w:rFonts w:ascii="Times New Roman CYR" w:hAnsi="Times New Roman CYR" w:cs="Times New Roman CYR"/>
          <w:sz w:val="28"/>
          <w:szCs w:val="28"/>
          <w:u w:color="FF0000"/>
        </w:rPr>
        <w:t>полугодие 20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составил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о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15</w:t>
      </w:r>
      <w:r w:rsidR="007F7F44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</w:t>
      </w:r>
      <w:r w:rsidR="00D13C97">
        <w:rPr>
          <w:rFonts w:ascii="Times New Roman CYR" w:hAnsi="Times New Roman CYR" w:cs="Times New Roman CYR"/>
          <w:sz w:val="28"/>
          <w:szCs w:val="28"/>
          <w:u w:color="FF0000"/>
        </w:rPr>
        <w:t>а</w:t>
      </w:r>
      <w:r w:rsidR="000F3378">
        <w:rPr>
          <w:rFonts w:ascii="Times New Roman CYR" w:hAnsi="Times New Roman CYR" w:cs="Times New Roman CYR"/>
          <w:sz w:val="28"/>
          <w:szCs w:val="28"/>
          <w:u w:color="FF0000"/>
        </w:rPr>
        <w:t xml:space="preserve"> (числе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нность прибывшего населения – 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75</w:t>
      </w:r>
      <w:r w:rsidR="000F3378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человек, численность выбывшего населения 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– 290</w:t>
      </w:r>
      <w:r w:rsidR="000F3378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</w:t>
      </w:r>
      <w:r w:rsidR="007F7F44">
        <w:rPr>
          <w:rFonts w:ascii="Times New Roman CYR" w:hAnsi="Times New Roman CYR" w:cs="Times New Roman CYR"/>
          <w:sz w:val="28"/>
          <w:szCs w:val="28"/>
          <w:u w:color="FF0000"/>
        </w:rPr>
        <w:t>а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), в оценке 202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0F3378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</w:t>
      </w:r>
      <w:r w:rsidR="002E1B03">
        <w:rPr>
          <w:rFonts w:ascii="Times New Roman CYR" w:hAnsi="Times New Roman CYR" w:cs="Times New Roman CYR"/>
          <w:sz w:val="28"/>
          <w:szCs w:val="28"/>
          <w:u w:color="FF0000"/>
        </w:rPr>
        <w:t>а</w:t>
      </w:r>
      <w:r w:rsidR="007F7F4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миграционный отток</w:t>
      </w:r>
      <w:r w:rsidR="007F7F44">
        <w:rPr>
          <w:rFonts w:ascii="Times New Roman CYR" w:hAnsi="Times New Roman CYR" w:cs="Times New Roman CYR"/>
          <w:sz w:val="28"/>
          <w:szCs w:val="28"/>
          <w:u w:color="FF0000"/>
        </w:rPr>
        <w:t xml:space="preserve"> составит 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172</w:t>
      </w:r>
      <w:r w:rsidR="000F3378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а</w:t>
      </w:r>
      <w:r w:rsidR="000F3378">
        <w:rPr>
          <w:rFonts w:ascii="Times New Roman CYR" w:hAnsi="Times New Roman CYR" w:cs="Times New Roman CYR"/>
          <w:sz w:val="28"/>
          <w:szCs w:val="28"/>
          <w:u w:color="FF0000"/>
        </w:rPr>
        <w:t>.</w:t>
      </w:r>
      <w:r w:rsidR="007F7F4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</w:p>
    <w:p w:rsidR="0055166E" w:rsidRPr="00713404" w:rsidRDefault="008F59B0" w:rsidP="00CD1A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23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-202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5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годах прогнозируется дальнейшее снижение численности населения города Боготола, что обусловлено </w:t>
      </w:r>
      <w:r w:rsidR="0055166E">
        <w:rPr>
          <w:rFonts w:ascii="Times New Roman CYR" w:hAnsi="Times New Roman CYR" w:cs="Times New Roman CYR"/>
          <w:sz w:val="28"/>
          <w:szCs w:val="28"/>
          <w:u w:color="FF0000"/>
        </w:rPr>
        <w:t xml:space="preserve">естественной убылью и </w:t>
      </w:r>
      <w:r w:rsidR="00420EB0">
        <w:rPr>
          <w:rFonts w:ascii="Times New Roman CYR" w:hAnsi="Times New Roman CYR" w:cs="Times New Roman CYR"/>
          <w:sz w:val="28"/>
          <w:szCs w:val="28"/>
          <w:u w:color="FF0000"/>
        </w:rPr>
        <w:t>миграцией населения, прежде всего в крупные мегаполисы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. </w:t>
      </w:r>
      <w:r w:rsidR="0055166E">
        <w:rPr>
          <w:rFonts w:ascii="Times New Roman CYR" w:hAnsi="Times New Roman CYR" w:cs="Times New Roman CYR"/>
          <w:sz w:val="28"/>
          <w:szCs w:val="28"/>
          <w:u w:color="FF0000"/>
        </w:rPr>
        <w:t>Следует отметить, что при сложившейся ситу</w:t>
      </w:r>
      <w:r w:rsidR="004440CA">
        <w:rPr>
          <w:rFonts w:ascii="Times New Roman CYR" w:hAnsi="Times New Roman CYR" w:cs="Times New Roman CYR"/>
          <w:sz w:val="28"/>
          <w:szCs w:val="28"/>
          <w:u w:color="FF0000"/>
        </w:rPr>
        <w:t>а</w:t>
      </w:r>
      <w:r w:rsidR="0055166E">
        <w:rPr>
          <w:rFonts w:ascii="Times New Roman CYR" w:hAnsi="Times New Roman CYR" w:cs="Times New Roman CYR"/>
          <w:sz w:val="28"/>
          <w:szCs w:val="28"/>
          <w:u w:color="FF0000"/>
        </w:rPr>
        <w:t>ции за</w:t>
      </w:r>
      <w:r w:rsidR="002E1B03">
        <w:rPr>
          <w:rFonts w:ascii="Times New Roman CYR" w:hAnsi="Times New Roman CYR" w:cs="Times New Roman CYR"/>
          <w:sz w:val="28"/>
          <w:szCs w:val="28"/>
          <w:u w:color="FF0000"/>
        </w:rPr>
        <w:t xml:space="preserve"> 1-е</w:t>
      </w:r>
      <w:r w:rsidR="0055166E">
        <w:rPr>
          <w:rFonts w:ascii="Times New Roman CYR" w:hAnsi="Times New Roman CYR" w:cs="Times New Roman CYR"/>
          <w:sz w:val="28"/>
          <w:szCs w:val="28"/>
          <w:u w:color="FF0000"/>
        </w:rPr>
        <w:t xml:space="preserve"> полугодие 20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55166E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года, основной причиной уменьшения </w:t>
      </w:r>
      <w:r w:rsidR="0055166E" w:rsidRPr="00713404">
        <w:rPr>
          <w:rFonts w:ascii="Times New Roman CYR" w:hAnsi="Times New Roman CYR" w:cs="Times New Roman CYR"/>
          <w:sz w:val="28"/>
          <w:szCs w:val="28"/>
          <w:u w:color="FF0000"/>
        </w:rPr>
        <w:t>численности населения является естественная убыль (рост смертности, сокращение рождаемости).</w:t>
      </w:r>
    </w:p>
    <w:p w:rsidR="008F59B0" w:rsidRPr="00713404" w:rsidRDefault="0055166E" w:rsidP="00CD1A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>В целом,</w:t>
      </w:r>
      <w:r w:rsidR="00420EB0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CD1AEC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в течение текущего года возможно </w:t>
      </w:r>
      <w:r w:rsidR="000F13B1">
        <w:rPr>
          <w:rFonts w:ascii="Times New Roman CYR" w:hAnsi="Times New Roman CYR" w:cs="Times New Roman CYR"/>
          <w:sz w:val="28"/>
          <w:szCs w:val="28"/>
          <w:u w:color="FF0000"/>
        </w:rPr>
        <w:t>изменение</w:t>
      </w:r>
      <w:r w:rsidR="00CD1AEC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показателя и отклонение от прогнозных значений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9E48E0" w:rsidRPr="00713404" w:rsidRDefault="009E48E0" w:rsidP="00CD1A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9E48E0" w:rsidRPr="00D40AB7" w:rsidRDefault="009E48E0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  <w:u w:color="FF0000"/>
        </w:rPr>
      </w:pPr>
      <w:r w:rsidRPr="00D40AB7">
        <w:rPr>
          <w:rFonts w:ascii="Times New Roman CYR" w:hAnsi="Times New Roman CYR" w:cs="Times New Roman CYR"/>
          <w:b/>
          <w:sz w:val="28"/>
          <w:szCs w:val="28"/>
          <w:u w:color="FF0000"/>
        </w:rPr>
        <w:t>Рынок труда</w:t>
      </w:r>
    </w:p>
    <w:p w:rsidR="009E48E0" w:rsidRPr="00713404" w:rsidRDefault="009E48E0" w:rsidP="00CD1A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33009C" w:rsidRPr="0033009C" w:rsidRDefault="009E48E0" w:rsidP="003300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713404">
        <w:rPr>
          <w:rFonts w:ascii="Times New Roman CYR" w:hAnsi="Times New Roman CYR" w:cs="Times New Roman CYR"/>
          <w:sz w:val="28"/>
          <w:szCs w:val="28"/>
        </w:rPr>
        <w:t>Среднесписочная численность работников списочного состава организаций без внешних совместителей по полному кругу организаций по состоян</w:t>
      </w:r>
      <w:r w:rsidR="00185D4E">
        <w:rPr>
          <w:rFonts w:ascii="Times New Roman CYR" w:hAnsi="Times New Roman CYR" w:cs="Times New Roman CYR"/>
          <w:sz w:val="28"/>
          <w:szCs w:val="28"/>
        </w:rPr>
        <w:t>ию на 01.07.202</w:t>
      </w:r>
      <w:r w:rsidR="00DA34B2">
        <w:rPr>
          <w:rFonts w:ascii="Times New Roman CYR" w:hAnsi="Times New Roman CYR" w:cs="Times New Roman CYR"/>
          <w:sz w:val="28"/>
          <w:szCs w:val="28"/>
        </w:rPr>
        <w:t>2</w:t>
      </w:r>
      <w:r w:rsidRPr="00713404">
        <w:rPr>
          <w:rFonts w:ascii="Times New Roman CYR" w:hAnsi="Times New Roman CYR" w:cs="Times New Roman CYR"/>
          <w:sz w:val="28"/>
          <w:szCs w:val="28"/>
        </w:rPr>
        <w:t xml:space="preserve"> года составила </w:t>
      </w:r>
      <w:r w:rsidR="00F72E76">
        <w:rPr>
          <w:rFonts w:ascii="Times New Roman CYR" w:hAnsi="Times New Roman CYR" w:cs="Times New Roman CYR"/>
          <w:sz w:val="28"/>
          <w:szCs w:val="28"/>
        </w:rPr>
        <w:t xml:space="preserve">6 </w:t>
      </w:r>
      <w:r w:rsidR="00DA34B2">
        <w:rPr>
          <w:rFonts w:ascii="Times New Roman CYR" w:hAnsi="Times New Roman CYR" w:cs="Times New Roman CYR"/>
          <w:sz w:val="28"/>
          <w:szCs w:val="28"/>
        </w:rPr>
        <w:t>346</w:t>
      </w:r>
      <w:r w:rsidR="005224A6">
        <w:rPr>
          <w:rFonts w:ascii="Times New Roman CYR" w:hAnsi="Times New Roman CYR" w:cs="Times New Roman CYR"/>
          <w:sz w:val="28"/>
          <w:szCs w:val="28"/>
        </w:rPr>
        <w:t xml:space="preserve"> человек</w:t>
      </w:r>
      <w:r w:rsidR="0033009C" w:rsidRPr="00713404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D50978" w:rsidRPr="00713404">
        <w:rPr>
          <w:rFonts w:ascii="Times New Roman CYR" w:hAnsi="Times New Roman CYR" w:cs="Times New Roman CYR"/>
          <w:sz w:val="28"/>
          <w:szCs w:val="28"/>
        </w:rPr>
        <w:t>на 01.07.</w:t>
      </w:r>
      <w:r w:rsidR="00F52DA6">
        <w:rPr>
          <w:rFonts w:ascii="Times New Roman CYR" w:hAnsi="Times New Roman CYR" w:cs="Times New Roman CYR"/>
          <w:sz w:val="28"/>
          <w:szCs w:val="28"/>
        </w:rPr>
        <w:t>202</w:t>
      </w:r>
      <w:r w:rsidR="00DA34B2">
        <w:rPr>
          <w:rFonts w:ascii="Times New Roman CYR" w:hAnsi="Times New Roman CYR" w:cs="Times New Roman CYR"/>
          <w:sz w:val="28"/>
          <w:szCs w:val="28"/>
        </w:rPr>
        <w:t>1</w:t>
      </w:r>
      <w:r w:rsidR="005224A6">
        <w:rPr>
          <w:rFonts w:ascii="Times New Roman CYR" w:hAnsi="Times New Roman CYR" w:cs="Times New Roman CYR"/>
          <w:sz w:val="28"/>
          <w:szCs w:val="28"/>
        </w:rPr>
        <w:t xml:space="preserve"> год – </w:t>
      </w:r>
      <w:r w:rsidR="0033009C" w:rsidRPr="00713404">
        <w:rPr>
          <w:rFonts w:ascii="Times New Roman CYR" w:hAnsi="Times New Roman CYR" w:cs="Times New Roman CYR"/>
          <w:sz w:val="28"/>
          <w:szCs w:val="28"/>
        </w:rPr>
        <w:t>6 </w:t>
      </w:r>
      <w:r w:rsidR="00F52DA6">
        <w:rPr>
          <w:rFonts w:ascii="Times New Roman CYR" w:hAnsi="Times New Roman CYR" w:cs="Times New Roman CYR"/>
          <w:sz w:val="28"/>
          <w:szCs w:val="28"/>
        </w:rPr>
        <w:t>5</w:t>
      </w:r>
      <w:r w:rsidR="00E623F7">
        <w:rPr>
          <w:rFonts w:ascii="Times New Roman CYR" w:hAnsi="Times New Roman CYR" w:cs="Times New Roman CYR"/>
          <w:sz w:val="28"/>
          <w:szCs w:val="28"/>
        </w:rPr>
        <w:t>44</w:t>
      </w:r>
      <w:r w:rsidR="0033009C" w:rsidRPr="00713404">
        <w:rPr>
          <w:rFonts w:ascii="Times New Roman CYR" w:hAnsi="Times New Roman CYR" w:cs="Times New Roman CYR"/>
          <w:sz w:val="28"/>
          <w:szCs w:val="28"/>
        </w:rPr>
        <w:t xml:space="preserve"> чел</w:t>
      </w:r>
      <w:r w:rsidR="005224A6">
        <w:rPr>
          <w:rFonts w:ascii="Times New Roman CYR" w:hAnsi="Times New Roman CYR" w:cs="Times New Roman CYR"/>
          <w:sz w:val="28"/>
          <w:szCs w:val="28"/>
        </w:rPr>
        <w:t>овек</w:t>
      </w:r>
      <w:r w:rsidR="0033009C" w:rsidRPr="00713404">
        <w:rPr>
          <w:rFonts w:ascii="Times New Roman CYR" w:hAnsi="Times New Roman CYR" w:cs="Times New Roman CYR"/>
          <w:sz w:val="28"/>
          <w:szCs w:val="28"/>
        </w:rPr>
        <w:t>) Тенденция к сокращению численности работников</w:t>
      </w:r>
      <w:r w:rsidR="00FE6243" w:rsidRPr="00713404">
        <w:rPr>
          <w:rFonts w:ascii="Times New Roman CYR" w:hAnsi="Times New Roman CYR" w:cs="Times New Roman CYR"/>
          <w:sz w:val="28"/>
          <w:szCs w:val="28"/>
        </w:rPr>
        <w:t xml:space="preserve"> в прогнозном значении сохраняется и сост</w:t>
      </w:r>
      <w:r w:rsidR="00185D4E">
        <w:rPr>
          <w:rFonts w:ascii="Times New Roman CYR" w:hAnsi="Times New Roman CYR" w:cs="Times New Roman CYR"/>
          <w:sz w:val="28"/>
          <w:szCs w:val="28"/>
        </w:rPr>
        <w:t xml:space="preserve">авляет </w:t>
      </w:r>
      <w:r w:rsidR="00F72E76">
        <w:rPr>
          <w:rFonts w:ascii="Times New Roman CYR" w:hAnsi="Times New Roman CYR" w:cs="Times New Roman CYR"/>
          <w:sz w:val="28"/>
          <w:szCs w:val="28"/>
        </w:rPr>
        <w:t>незначительное о</w:t>
      </w:r>
      <w:r w:rsidR="00E623F7">
        <w:rPr>
          <w:rFonts w:ascii="Times New Roman CYR" w:hAnsi="Times New Roman CYR" w:cs="Times New Roman CYR"/>
          <w:sz w:val="28"/>
          <w:szCs w:val="28"/>
        </w:rPr>
        <w:t>тклонение от оценки 2022</w:t>
      </w:r>
      <w:r w:rsidR="00FE6243" w:rsidRPr="00713404"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="00F72E76">
        <w:rPr>
          <w:rFonts w:ascii="Times New Roman CYR" w:hAnsi="Times New Roman CYR" w:cs="Times New Roman CYR"/>
          <w:sz w:val="28"/>
          <w:szCs w:val="28"/>
        </w:rPr>
        <w:t>.</w:t>
      </w:r>
    </w:p>
    <w:p w:rsidR="009E48E0" w:rsidRDefault="009E48E0" w:rsidP="009E48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D40AB7">
        <w:rPr>
          <w:rFonts w:ascii="Times New Roman CYR" w:hAnsi="Times New Roman CYR" w:cs="Times New Roman CYR"/>
          <w:sz w:val="28"/>
          <w:szCs w:val="28"/>
        </w:rPr>
        <w:t>Исходя из статистических данных</w:t>
      </w:r>
      <w:r w:rsidR="004234B9" w:rsidRPr="00D40AB7">
        <w:rPr>
          <w:rFonts w:ascii="Times New Roman CYR" w:hAnsi="Times New Roman CYR" w:cs="Times New Roman CYR"/>
          <w:sz w:val="28"/>
          <w:szCs w:val="28"/>
        </w:rPr>
        <w:t xml:space="preserve"> на 01.07.20</w:t>
      </w:r>
      <w:r w:rsidR="00185D4E" w:rsidRPr="00D40AB7">
        <w:rPr>
          <w:rFonts w:ascii="Times New Roman CYR" w:hAnsi="Times New Roman CYR" w:cs="Times New Roman CYR"/>
          <w:sz w:val="28"/>
          <w:szCs w:val="28"/>
        </w:rPr>
        <w:t>2</w:t>
      </w:r>
      <w:r w:rsidR="00E623F7">
        <w:rPr>
          <w:rFonts w:ascii="Times New Roman CYR" w:hAnsi="Times New Roman CYR" w:cs="Times New Roman CYR"/>
          <w:sz w:val="28"/>
          <w:szCs w:val="28"/>
        </w:rPr>
        <w:t>2</w:t>
      </w:r>
      <w:r w:rsidR="005224A6" w:rsidRPr="00D40AB7"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Pr="00D40AB7">
        <w:rPr>
          <w:rFonts w:ascii="Times New Roman CYR" w:hAnsi="Times New Roman CYR" w:cs="Times New Roman CYR"/>
          <w:sz w:val="28"/>
          <w:szCs w:val="28"/>
        </w:rPr>
        <w:t>, сокращение работников произошло</w:t>
      </w:r>
      <w:r w:rsidR="004234B9" w:rsidRPr="00D40AB7">
        <w:rPr>
          <w:rFonts w:ascii="Times New Roman CYR" w:hAnsi="Times New Roman CYR" w:cs="Times New Roman CYR"/>
          <w:sz w:val="28"/>
          <w:szCs w:val="28"/>
        </w:rPr>
        <w:t xml:space="preserve"> в отрасли «</w:t>
      </w:r>
      <w:r w:rsidR="004440CA" w:rsidRPr="00D40AB7">
        <w:rPr>
          <w:rFonts w:ascii="Times New Roman CYR" w:hAnsi="Times New Roman CYR" w:cs="Times New Roman CYR"/>
          <w:sz w:val="28"/>
          <w:szCs w:val="28"/>
        </w:rPr>
        <w:t>Обрабатывающие производства</w:t>
      </w:r>
      <w:r w:rsidR="004234B9" w:rsidRPr="00D40AB7">
        <w:rPr>
          <w:rFonts w:ascii="Times New Roman CYR" w:hAnsi="Times New Roman CYR" w:cs="Times New Roman CYR"/>
          <w:sz w:val="28"/>
          <w:szCs w:val="28"/>
        </w:rPr>
        <w:t xml:space="preserve">» в сравнении с </w:t>
      </w:r>
      <w:r w:rsidR="004440CA" w:rsidRPr="00D40AB7">
        <w:rPr>
          <w:rFonts w:ascii="Times New Roman CYR" w:hAnsi="Times New Roman CYR" w:cs="Times New Roman CYR"/>
          <w:sz w:val="28"/>
          <w:szCs w:val="28"/>
        </w:rPr>
        <w:t xml:space="preserve">аналогичным </w:t>
      </w:r>
      <w:r w:rsidR="00D40AB7" w:rsidRPr="00D40AB7">
        <w:rPr>
          <w:rFonts w:ascii="Times New Roman CYR" w:hAnsi="Times New Roman CYR" w:cs="Times New Roman CYR"/>
          <w:sz w:val="28"/>
          <w:szCs w:val="28"/>
        </w:rPr>
        <w:t>периодом 202</w:t>
      </w:r>
      <w:r w:rsidR="00E623F7">
        <w:rPr>
          <w:rFonts w:ascii="Times New Roman CYR" w:hAnsi="Times New Roman CYR" w:cs="Times New Roman CYR"/>
          <w:sz w:val="28"/>
          <w:szCs w:val="28"/>
        </w:rPr>
        <w:t>1</w:t>
      </w:r>
      <w:r w:rsidR="004234B9" w:rsidRPr="00D40AB7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5D6F83" w:rsidRPr="00D40AB7">
        <w:rPr>
          <w:rFonts w:ascii="Times New Roman CYR" w:hAnsi="Times New Roman CYR" w:cs="Times New Roman CYR"/>
          <w:sz w:val="28"/>
          <w:szCs w:val="28"/>
        </w:rPr>
        <w:t>а</w:t>
      </w:r>
      <w:r w:rsidR="004234B9" w:rsidRPr="00D40AB7">
        <w:rPr>
          <w:rFonts w:ascii="Times New Roman CYR" w:hAnsi="Times New Roman CYR" w:cs="Times New Roman CYR"/>
          <w:sz w:val="28"/>
          <w:szCs w:val="28"/>
        </w:rPr>
        <w:t xml:space="preserve"> на </w:t>
      </w:r>
      <w:r w:rsidR="00E623F7">
        <w:rPr>
          <w:rFonts w:ascii="Times New Roman CYR" w:hAnsi="Times New Roman CYR" w:cs="Times New Roman CYR"/>
          <w:sz w:val="28"/>
          <w:szCs w:val="28"/>
        </w:rPr>
        <w:t>41</w:t>
      </w:r>
      <w:r w:rsidR="00D40AB7" w:rsidRPr="00D40AB7">
        <w:rPr>
          <w:rFonts w:ascii="Times New Roman CYR" w:hAnsi="Times New Roman CYR" w:cs="Times New Roman CYR"/>
          <w:sz w:val="28"/>
          <w:szCs w:val="28"/>
        </w:rPr>
        <w:t>,</w:t>
      </w:r>
      <w:r w:rsidR="00E623F7">
        <w:rPr>
          <w:rFonts w:ascii="Times New Roman CYR" w:hAnsi="Times New Roman CYR" w:cs="Times New Roman CYR"/>
          <w:sz w:val="28"/>
          <w:szCs w:val="28"/>
        </w:rPr>
        <w:t>48</w:t>
      </w:r>
      <w:r w:rsidR="004234B9" w:rsidRPr="00D40AB7">
        <w:rPr>
          <w:rFonts w:ascii="Times New Roman CYR" w:hAnsi="Times New Roman CYR" w:cs="Times New Roman CYR"/>
          <w:sz w:val="28"/>
          <w:szCs w:val="28"/>
        </w:rPr>
        <w:t xml:space="preserve">%, </w:t>
      </w:r>
      <w:r w:rsidRPr="00D40AB7">
        <w:rPr>
          <w:rFonts w:ascii="Times New Roman CYR" w:hAnsi="Times New Roman CYR" w:cs="Times New Roman CYR"/>
          <w:sz w:val="28"/>
          <w:szCs w:val="28"/>
        </w:rPr>
        <w:t>в отрас</w:t>
      </w:r>
      <w:r w:rsidR="00BB3EE2" w:rsidRPr="00D40AB7">
        <w:rPr>
          <w:rFonts w:ascii="Times New Roman CYR" w:hAnsi="Times New Roman CYR" w:cs="Times New Roman CYR"/>
          <w:sz w:val="28"/>
          <w:szCs w:val="28"/>
        </w:rPr>
        <w:t>ли «</w:t>
      </w:r>
      <w:r w:rsidR="00F72E76" w:rsidRPr="00D40AB7">
        <w:rPr>
          <w:rFonts w:ascii="Times New Roman CYR" w:hAnsi="Times New Roman CYR" w:cs="Times New Roman CYR"/>
          <w:sz w:val="28"/>
          <w:szCs w:val="28"/>
        </w:rPr>
        <w:t>Водоснабжение, во</w:t>
      </w:r>
      <w:r w:rsidR="00462308" w:rsidRPr="00D40AB7">
        <w:rPr>
          <w:rFonts w:ascii="Times New Roman CYR" w:hAnsi="Times New Roman CYR" w:cs="Times New Roman CYR"/>
          <w:sz w:val="28"/>
          <w:szCs w:val="28"/>
        </w:rPr>
        <w:t>до</w:t>
      </w:r>
      <w:r w:rsidR="00F72E76" w:rsidRPr="00D40AB7">
        <w:rPr>
          <w:rFonts w:ascii="Times New Roman CYR" w:hAnsi="Times New Roman CYR" w:cs="Times New Roman CYR"/>
          <w:sz w:val="28"/>
          <w:szCs w:val="28"/>
        </w:rPr>
        <w:t>отведение, организация сбора и утилизация отход</w:t>
      </w:r>
      <w:r w:rsidR="00462308" w:rsidRPr="00D40AB7">
        <w:rPr>
          <w:rFonts w:ascii="Times New Roman CYR" w:hAnsi="Times New Roman CYR" w:cs="Times New Roman CYR"/>
          <w:sz w:val="28"/>
          <w:szCs w:val="28"/>
        </w:rPr>
        <w:t>о</w:t>
      </w:r>
      <w:r w:rsidR="00F72E76" w:rsidRPr="00D40AB7">
        <w:rPr>
          <w:rFonts w:ascii="Times New Roman CYR" w:hAnsi="Times New Roman CYR" w:cs="Times New Roman CYR"/>
          <w:sz w:val="28"/>
          <w:szCs w:val="28"/>
        </w:rPr>
        <w:t xml:space="preserve">в, деятельность по ликвидации </w:t>
      </w:r>
      <w:r w:rsidR="00462308" w:rsidRPr="00D40AB7">
        <w:rPr>
          <w:rFonts w:ascii="Times New Roman CYR" w:hAnsi="Times New Roman CYR" w:cs="Times New Roman CYR"/>
          <w:sz w:val="28"/>
          <w:szCs w:val="28"/>
        </w:rPr>
        <w:t>загрязнений</w:t>
      </w:r>
      <w:r w:rsidR="00BB3EE2" w:rsidRPr="00D40AB7">
        <w:rPr>
          <w:rFonts w:ascii="Times New Roman CYR" w:hAnsi="Times New Roman CYR" w:cs="Times New Roman CYR"/>
          <w:sz w:val="28"/>
          <w:szCs w:val="28"/>
        </w:rPr>
        <w:t>»</w:t>
      </w:r>
      <w:r w:rsidRPr="00D40AB7">
        <w:rPr>
          <w:rFonts w:ascii="Times New Roman CYR" w:hAnsi="Times New Roman CYR" w:cs="Times New Roman CYR"/>
          <w:sz w:val="28"/>
          <w:szCs w:val="28"/>
        </w:rPr>
        <w:t xml:space="preserve"> на </w:t>
      </w:r>
      <w:r w:rsidR="00E623F7">
        <w:rPr>
          <w:rFonts w:ascii="Times New Roman CYR" w:hAnsi="Times New Roman CYR" w:cs="Times New Roman CYR"/>
          <w:sz w:val="28"/>
          <w:szCs w:val="28"/>
        </w:rPr>
        <w:t>22,6</w:t>
      </w:r>
      <w:r w:rsidRPr="00D40AB7">
        <w:rPr>
          <w:rFonts w:ascii="Times New Roman CYR" w:hAnsi="Times New Roman CYR" w:cs="Times New Roman CYR"/>
          <w:sz w:val="28"/>
          <w:szCs w:val="28"/>
        </w:rPr>
        <w:t>%,</w:t>
      </w:r>
      <w:r w:rsidR="002C7E53" w:rsidRPr="00D40AB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62308" w:rsidRPr="00D40AB7">
        <w:rPr>
          <w:rFonts w:ascii="Times New Roman CYR" w:hAnsi="Times New Roman CYR" w:cs="Times New Roman CYR"/>
          <w:sz w:val="28"/>
          <w:szCs w:val="28"/>
        </w:rPr>
        <w:t xml:space="preserve">в отрасли «Торговля оптовая и розничная; ремонт автотранспортных средств и мотоциклов» </w:t>
      </w:r>
      <w:r w:rsidR="00E623F7">
        <w:rPr>
          <w:rFonts w:ascii="Times New Roman CYR" w:hAnsi="Times New Roman CYR" w:cs="Times New Roman CYR"/>
          <w:sz w:val="28"/>
          <w:szCs w:val="28"/>
        </w:rPr>
        <w:t>на 33,9%</w:t>
      </w:r>
      <w:r w:rsidR="00462308" w:rsidRPr="00D40AB7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2C7E53" w:rsidRPr="00D40AB7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5D6F83" w:rsidRPr="00D40AB7">
        <w:rPr>
          <w:rFonts w:ascii="Times New Roman CYR" w:hAnsi="Times New Roman CYR" w:cs="Times New Roman CYR"/>
          <w:sz w:val="28"/>
          <w:szCs w:val="28"/>
        </w:rPr>
        <w:t xml:space="preserve">остальных отраслях экономики города </w:t>
      </w:r>
      <w:r w:rsidR="004440CA" w:rsidRPr="00D40AB7">
        <w:rPr>
          <w:rFonts w:ascii="Times New Roman CYR" w:hAnsi="Times New Roman CYR" w:cs="Times New Roman CYR"/>
          <w:sz w:val="28"/>
          <w:szCs w:val="28"/>
        </w:rPr>
        <w:t>значительных изменений не наблюдается.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E48E0" w:rsidRDefault="009E48E0" w:rsidP="009E48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451BEA">
        <w:rPr>
          <w:rFonts w:ascii="Times New Roman CYR" w:hAnsi="Times New Roman CYR" w:cs="Times New Roman CYR"/>
          <w:sz w:val="28"/>
          <w:szCs w:val="28"/>
        </w:rPr>
        <w:t xml:space="preserve">Основная доля среднесписочной численности работников </w:t>
      </w:r>
      <w:r w:rsidR="004234B9" w:rsidRPr="00451BEA">
        <w:rPr>
          <w:rFonts w:ascii="Times New Roman CYR" w:hAnsi="Times New Roman CYR" w:cs="Times New Roman CYR"/>
          <w:sz w:val="28"/>
          <w:szCs w:val="28"/>
        </w:rPr>
        <w:t xml:space="preserve">неизменно </w:t>
      </w:r>
      <w:r w:rsidRPr="00451BEA">
        <w:rPr>
          <w:rFonts w:ascii="Times New Roman CYR" w:hAnsi="Times New Roman CYR" w:cs="Times New Roman CYR"/>
          <w:sz w:val="28"/>
          <w:szCs w:val="28"/>
        </w:rPr>
        <w:t xml:space="preserve">приходится на вид деятельности «Транспортировка и хранение» - </w:t>
      </w:r>
      <w:r w:rsidR="00E623F7">
        <w:rPr>
          <w:rFonts w:ascii="Times New Roman CYR" w:hAnsi="Times New Roman CYR" w:cs="Times New Roman CYR"/>
          <w:sz w:val="28"/>
          <w:szCs w:val="28"/>
        </w:rPr>
        <w:t>47</w:t>
      </w:r>
      <w:r w:rsidR="00451BEA" w:rsidRPr="00451BEA">
        <w:rPr>
          <w:rFonts w:ascii="Times New Roman CYR" w:hAnsi="Times New Roman CYR" w:cs="Times New Roman CYR"/>
          <w:sz w:val="28"/>
          <w:szCs w:val="28"/>
        </w:rPr>
        <w:t>,</w:t>
      </w:r>
      <w:r w:rsidR="00E623F7">
        <w:rPr>
          <w:rFonts w:ascii="Times New Roman CYR" w:hAnsi="Times New Roman CYR" w:cs="Times New Roman CYR"/>
          <w:sz w:val="28"/>
          <w:szCs w:val="28"/>
        </w:rPr>
        <w:t>6</w:t>
      </w:r>
      <w:r w:rsidRPr="00451BEA">
        <w:rPr>
          <w:rFonts w:ascii="Times New Roman CYR" w:hAnsi="Times New Roman CYR" w:cs="Times New Roman CYR"/>
          <w:sz w:val="28"/>
          <w:szCs w:val="28"/>
        </w:rPr>
        <w:t xml:space="preserve">% или </w:t>
      </w:r>
      <w:r w:rsidR="00E623F7">
        <w:rPr>
          <w:rFonts w:ascii="Times New Roman CYR" w:hAnsi="Times New Roman CYR" w:cs="Times New Roman CYR"/>
          <w:sz w:val="28"/>
          <w:szCs w:val="28"/>
        </w:rPr>
        <w:lastRenderedPageBreak/>
        <w:t>3 020</w:t>
      </w:r>
      <w:r w:rsidR="005224A6" w:rsidRPr="00451BEA">
        <w:rPr>
          <w:rFonts w:ascii="Times New Roman CYR" w:hAnsi="Times New Roman CYR" w:cs="Times New Roman CYR"/>
          <w:sz w:val="28"/>
          <w:szCs w:val="28"/>
        </w:rPr>
        <w:t xml:space="preserve"> человек</w:t>
      </w:r>
      <w:r w:rsidRPr="00451BEA">
        <w:rPr>
          <w:rFonts w:ascii="Times New Roman CYR" w:hAnsi="Times New Roman CYR" w:cs="Times New Roman CYR"/>
          <w:sz w:val="28"/>
          <w:szCs w:val="28"/>
        </w:rPr>
        <w:t>, к которой относится деятельность структурных подразделений ОАО «РЖД», частных сервисных (</w:t>
      </w:r>
      <w:proofErr w:type="spellStart"/>
      <w:r w:rsidRPr="00451BEA">
        <w:rPr>
          <w:rFonts w:ascii="Times New Roman CYR" w:hAnsi="Times New Roman CYR" w:cs="Times New Roman CYR"/>
          <w:sz w:val="28"/>
          <w:szCs w:val="28"/>
        </w:rPr>
        <w:t>аутсорсинговых</w:t>
      </w:r>
      <w:proofErr w:type="spellEnd"/>
      <w:r w:rsidRPr="00451BEA">
        <w:rPr>
          <w:rFonts w:ascii="Times New Roman CYR" w:hAnsi="Times New Roman CYR" w:cs="Times New Roman CYR"/>
          <w:sz w:val="28"/>
          <w:szCs w:val="28"/>
        </w:rPr>
        <w:t>) компани</w:t>
      </w:r>
      <w:r w:rsidR="005D6F83" w:rsidRPr="00451BEA">
        <w:rPr>
          <w:rFonts w:ascii="Times New Roman CYR" w:hAnsi="Times New Roman CYR" w:cs="Times New Roman CYR"/>
          <w:sz w:val="28"/>
          <w:szCs w:val="28"/>
        </w:rPr>
        <w:t>й</w:t>
      </w:r>
      <w:r w:rsidRPr="00451BEA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285891" w:rsidRDefault="00285891" w:rsidP="009E48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285891">
        <w:rPr>
          <w:rFonts w:ascii="Times New Roman CYR" w:hAnsi="Times New Roman CYR" w:cs="Times New Roman CYR"/>
          <w:sz w:val="28"/>
          <w:szCs w:val="28"/>
        </w:rPr>
        <w:t xml:space="preserve">Уровень зарегистрированной безработицы (к трудоспособному населению в трудоспособном возрасте), на конец </w:t>
      </w:r>
      <w:r w:rsidR="00F938E5">
        <w:rPr>
          <w:rFonts w:ascii="Times New Roman CYR" w:hAnsi="Times New Roman CYR" w:cs="Times New Roman CYR"/>
          <w:sz w:val="28"/>
          <w:szCs w:val="28"/>
        </w:rPr>
        <w:t>периода</w:t>
      </w:r>
      <w:r>
        <w:rPr>
          <w:rFonts w:ascii="Times New Roman CYR" w:hAnsi="Times New Roman CYR" w:cs="Times New Roman CYR"/>
          <w:sz w:val="28"/>
          <w:szCs w:val="28"/>
        </w:rPr>
        <w:t xml:space="preserve"> составляет </w:t>
      </w:r>
      <w:r w:rsidR="00F52DA6">
        <w:rPr>
          <w:rFonts w:ascii="Times New Roman CYR" w:hAnsi="Times New Roman CYR" w:cs="Times New Roman CYR"/>
          <w:sz w:val="28"/>
          <w:szCs w:val="28"/>
        </w:rPr>
        <w:t>1,</w:t>
      </w:r>
      <w:r w:rsidR="00E623F7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%. </w:t>
      </w:r>
    </w:p>
    <w:p w:rsidR="004234B9" w:rsidRDefault="00966760" w:rsidP="009E48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Сокращение чис</w:t>
      </w:r>
      <w:r w:rsidR="00F72E76">
        <w:rPr>
          <w:rFonts w:ascii="Times New Roman CYR" w:hAnsi="Times New Roman CYR" w:cs="Times New Roman CYR"/>
          <w:sz w:val="28"/>
          <w:szCs w:val="28"/>
        </w:rPr>
        <w:t>л</w:t>
      </w:r>
      <w:r w:rsidR="00E623F7">
        <w:rPr>
          <w:rFonts w:ascii="Times New Roman CYR" w:hAnsi="Times New Roman CYR" w:cs="Times New Roman CYR"/>
          <w:sz w:val="28"/>
          <w:szCs w:val="28"/>
        </w:rPr>
        <w:t>енности работников в оценке 2022</w:t>
      </w:r>
      <w:r>
        <w:rPr>
          <w:rFonts w:ascii="Times New Roman CYR" w:hAnsi="Times New Roman CYR" w:cs="Times New Roman CYR"/>
          <w:sz w:val="28"/>
          <w:szCs w:val="28"/>
        </w:rPr>
        <w:t xml:space="preserve"> года предусмотрено. Показатели, характеризующие рынок труда не отклоня</w:t>
      </w:r>
      <w:r w:rsidR="004440CA">
        <w:rPr>
          <w:rFonts w:ascii="Times New Roman CYR" w:hAnsi="Times New Roman CYR" w:cs="Times New Roman CYR"/>
          <w:sz w:val="28"/>
          <w:szCs w:val="28"/>
        </w:rPr>
        <w:t>ются от прогнозных значений 202</w:t>
      </w:r>
      <w:r w:rsidR="00E623F7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>-202</w:t>
      </w:r>
      <w:r w:rsidR="00E623F7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 гг. </w:t>
      </w:r>
    </w:p>
    <w:p w:rsidR="00BB3EE2" w:rsidRDefault="00BB3EE2" w:rsidP="009E48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B3EE2" w:rsidRPr="00713404" w:rsidRDefault="00BB3EE2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713404">
        <w:rPr>
          <w:rFonts w:ascii="Times New Roman CYR" w:hAnsi="Times New Roman CYR" w:cs="Times New Roman CYR"/>
          <w:b/>
          <w:sz w:val="28"/>
          <w:szCs w:val="28"/>
        </w:rPr>
        <w:t>Промышленность</w:t>
      </w:r>
    </w:p>
    <w:p w:rsidR="00BB3EE2" w:rsidRPr="00713404" w:rsidRDefault="00BB3EE2" w:rsidP="009E48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A25FD" w:rsidRDefault="000A25FD" w:rsidP="000A25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состоянию на 01.0</w:t>
      </w:r>
      <w:r w:rsidR="0053273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.202</w:t>
      </w:r>
      <w:r w:rsidR="00E623F7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года на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территории города Боготола зарегистрировано юридических лиц, филиалов и других обособленных </w:t>
      </w:r>
      <w:r w:rsidR="00E623F7">
        <w:rPr>
          <w:rFonts w:ascii="Times New Roman CYR" w:hAnsi="Times New Roman CYR" w:cs="Times New Roman CYR"/>
          <w:sz w:val="28"/>
          <w:szCs w:val="28"/>
        </w:rPr>
        <w:t>подразделений - 205 единиц, что составляет 85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="00E623F7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 % к уровню 20</w:t>
      </w:r>
      <w:r w:rsidR="00E623F7">
        <w:rPr>
          <w:rFonts w:ascii="Times New Roman CYR" w:hAnsi="Times New Roman CYR" w:cs="Times New Roman CYR"/>
          <w:sz w:val="28"/>
          <w:szCs w:val="28"/>
        </w:rPr>
        <w:t>20</w:t>
      </w:r>
      <w:r>
        <w:rPr>
          <w:rFonts w:ascii="Times New Roman CYR" w:hAnsi="Times New Roman CYR" w:cs="Times New Roman CYR"/>
          <w:sz w:val="28"/>
          <w:szCs w:val="28"/>
        </w:rPr>
        <w:t xml:space="preserve"> года. </w:t>
      </w:r>
      <w:r w:rsidR="0053273D">
        <w:rPr>
          <w:rFonts w:ascii="Times New Roman CYR" w:hAnsi="Times New Roman CYR" w:cs="Times New Roman CYR"/>
          <w:sz w:val="28"/>
          <w:szCs w:val="28"/>
        </w:rPr>
        <w:t>На 01.07.202</w:t>
      </w:r>
      <w:r w:rsidR="00E623F7">
        <w:rPr>
          <w:rFonts w:ascii="Times New Roman CYR" w:hAnsi="Times New Roman CYR" w:cs="Times New Roman CYR"/>
          <w:sz w:val="28"/>
          <w:szCs w:val="28"/>
        </w:rPr>
        <w:t>2</w:t>
      </w:r>
      <w:r w:rsidR="0053273D">
        <w:rPr>
          <w:rFonts w:ascii="Times New Roman CYR" w:hAnsi="Times New Roman CYR" w:cs="Times New Roman CYR"/>
          <w:sz w:val="28"/>
          <w:szCs w:val="28"/>
        </w:rPr>
        <w:t xml:space="preserve"> год количество юридических лиц не изменилось.</w:t>
      </w:r>
    </w:p>
    <w:p w:rsidR="000A25FD" w:rsidRDefault="000A25FD" w:rsidP="000A25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 количества зарегистрированных хозяйствующих субъектов 36,7% приходится на филиалы и структурные подразделения: в том числе деятельность магистрального и промышленного железнодорожного транспорта, деятельность в системе тепло</w:t>
      </w:r>
      <w:r w:rsidR="00E623F7"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E623F7">
        <w:rPr>
          <w:rFonts w:ascii="Times New Roman CYR" w:hAnsi="Times New Roman CYR" w:cs="Times New Roman CYR"/>
          <w:sz w:val="28"/>
          <w:szCs w:val="28"/>
        </w:rPr>
        <w:t>электроснабжения</w:t>
      </w:r>
      <w:proofErr w:type="gramStart"/>
      <w:r w:rsidR="00E623F7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="00E623F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(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э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ксплуатационное депо, ремонтное локомотивное депо, дистанция пути, физкультурно-оздоровительный комплекс с бассейном, дистанция гражданских сооружений, дистанция электроснабжения, дистанция сигнализации и блокировки).</w:t>
      </w:r>
    </w:p>
    <w:p w:rsidR="000A25FD" w:rsidRDefault="000A25FD" w:rsidP="000A25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 территории города финансово-хозяйственную деятельность в сфере промышленного производства осуществляют структурные подразделения: ОАО "РЖД"; Боготольский филиал ГПКК "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Ачинское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ДРСУ"; сервисное локомотивное депо "</w:t>
      </w:r>
      <w:proofErr w:type="spellStart"/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Боготол-Сибирский</w:t>
      </w:r>
      <w:proofErr w:type="spellEnd"/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" ООО "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ЛокоТех-Сервис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", ООО "Сибирский завод экологической техники"; ООО "Красноярская региональная энергетическая компания".</w:t>
      </w:r>
    </w:p>
    <w:p w:rsidR="000A25FD" w:rsidRDefault="000A25FD" w:rsidP="000A25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К значимым предприятиям сектора малого и среднего предпринимательства относятся: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ООО «Боготольский вагоноремонтный завод», ООО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Боготолмолоко+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», ООО ДПМК «Боготольская», ООО «Боготольские коммунальные системы», ООО «Набат», ООО «Полигон», ООО «Скиф», ОАО «Автомобилист». </w:t>
      </w:r>
      <w:proofErr w:type="gramEnd"/>
    </w:p>
    <w:p w:rsidR="000A25FD" w:rsidRDefault="000A25FD" w:rsidP="000A25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  <w:u w:val="single"/>
        </w:rPr>
      </w:pPr>
    </w:p>
    <w:p w:rsidR="00BB3EE2" w:rsidRDefault="00BB3EE2" w:rsidP="00BB3E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  <w:u w:val="single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Объем отгруженной продукции по видам деятельности</w:t>
      </w:r>
    </w:p>
    <w:p w:rsidR="00BB3EE2" w:rsidRDefault="00BB3EE2" w:rsidP="00BB3EE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935E8" w:rsidRDefault="001935E8" w:rsidP="00BB3E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данным статистики объем отгруженной продукции составил за 1</w:t>
      </w:r>
      <w:r w:rsidR="00BC02A3">
        <w:rPr>
          <w:rFonts w:ascii="Times New Roman CYR" w:hAnsi="Times New Roman CYR" w:cs="Times New Roman CYR"/>
          <w:color w:val="000000"/>
          <w:sz w:val="28"/>
          <w:szCs w:val="28"/>
        </w:rPr>
        <w:t>-е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полугодие 20</w:t>
      </w:r>
      <w:r w:rsidR="00B8488A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E623F7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года:</w:t>
      </w:r>
    </w:p>
    <w:p w:rsidR="001935E8" w:rsidRDefault="001935E8" w:rsidP="006066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по виду деятельности «Обрабатывающ</w:t>
      </w:r>
      <w:r w:rsidR="001A7A70"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 производств</w:t>
      </w:r>
      <w:r w:rsidR="001A7A70"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» </w:t>
      </w:r>
      <w:r w:rsidR="00E623F7">
        <w:rPr>
          <w:rFonts w:ascii="Times New Roman CYR" w:hAnsi="Times New Roman CYR" w:cs="Times New Roman CYR"/>
          <w:color w:val="000000"/>
          <w:sz w:val="28"/>
          <w:szCs w:val="28"/>
        </w:rPr>
        <w:t>2 730 770,6</w:t>
      </w:r>
      <w:r w:rsidR="00EC7440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тыс. руб.;</w:t>
      </w:r>
    </w:p>
    <w:p w:rsidR="00D80015" w:rsidRDefault="001935E8" w:rsidP="004156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п</w:t>
      </w:r>
      <w:r w:rsidR="00BB3EE2">
        <w:rPr>
          <w:rFonts w:ascii="Times New Roman CYR" w:hAnsi="Times New Roman CYR" w:cs="Times New Roman CYR"/>
          <w:color w:val="000000"/>
          <w:sz w:val="28"/>
          <w:szCs w:val="28"/>
        </w:rPr>
        <w:t>о виду деятельности «</w:t>
      </w:r>
      <w:r w:rsidR="00D80015" w:rsidRPr="00D80015">
        <w:rPr>
          <w:rFonts w:ascii="Times New Roman CYR" w:hAnsi="Times New Roman CYR" w:cs="Times New Roman CYR"/>
          <w:color w:val="000000"/>
          <w:sz w:val="28"/>
          <w:szCs w:val="28"/>
        </w:rPr>
        <w:t>Обеспечение электр</w:t>
      </w:r>
      <w:r w:rsidR="00D80015">
        <w:rPr>
          <w:rFonts w:ascii="Times New Roman CYR" w:hAnsi="Times New Roman CYR" w:cs="Times New Roman CYR"/>
          <w:color w:val="000000"/>
          <w:sz w:val="28"/>
          <w:szCs w:val="28"/>
        </w:rPr>
        <w:t>ической энергией, газом и паром,</w:t>
      </w:r>
      <w:r w:rsidR="00D80015" w:rsidRPr="00D80015">
        <w:rPr>
          <w:rFonts w:ascii="Times New Roman CYR" w:hAnsi="Times New Roman CYR" w:cs="Times New Roman CYR"/>
          <w:color w:val="000000"/>
          <w:sz w:val="28"/>
          <w:szCs w:val="28"/>
        </w:rPr>
        <w:t xml:space="preserve"> кондиционирование воздуха</w:t>
      </w:r>
      <w:r w:rsidR="00BB3EE2">
        <w:rPr>
          <w:rFonts w:ascii="Times New Roman CYR" w:hAnsi="Times New Roman CYR" w:cs="Times New Roman CYR"/>
          <w:color w:val="000000"/>
          <w:sz w:val="28"/>
          <w:szCs w:val="28"/>
        </w:rPr>
        <w:t>»</w:t>
      </w:r>
      <w:r w:rsidR="00D80015">
        <w:rPr>
          <w:rFonts w:ascii="Times New Roman CYR" w:hAnsi="Times New Roman CYR" w:cs="Times New Roman CYR"/>
          <w:color w:val="000000"/>
          <w:sz w:val="28"/>
          <w:szCs w:val="28"/>
        </w:rPr>
        <w:t xml:space="preserve">  </w:t>
      </w:r>
      <w:r w:rsidR="00E623F7">
        <w:rPr>
          <w:rFonts w:ascii="Times New Roman CYR" w:hAnsi="Times New Roman CYR" w:cs="Times New Roman CYR"/>
          <w:color w:val="000000"/>
          <w:sz w:val="28"/>
          <w:szCs w:val="28"/>
        </w:rPr>
        <w:t xml:space="preserve">191 229,6 </w:t>
      </w:r>
      <w:r w:rsidR="00B8488A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606638">
        <w:rPr>
          <w:rFonts w:ascii="Times New Roman CYR" w:hAnsi="Times New Roman CYR" w:cs="Times New Roman CYR"/>
          <w:color w:val="000000"/>
          <w:sz w:val="28"/>
          <w:szCs w:val="28"/>
        </w:rPr>
        <w:t>тыс. руб.;</w:t>
      </w:r>
    </w:p>
    <w:p w:rsidR="00606638" w:rsidRDefault="00606638" w:rsidP="004156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- по виду деятельности «</w:t>
      </w:r>
      <w:r w:rsidRPr="00606638">
        <w:rPr>
          <w:rFonts w:ascii="Times New Roman CYR" w:hAnsi="Times New Roman CYR" w:cs="Times New Roman CYR"/>
          <w:color w:val="000000"/>
          <w:sz w:val="28"/>
          <w:szCs w:val="28"/>
        </w:rPr>
        <w:t>Водосн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абжение</w:t>
      </w:r>
      <w:r w:rsidR="005F1BCF">
        <w:rPr>
          <w:rFonts w:ascii="Times New Roman CYR" w:hAnsi="Times New Roman CYR" w:cs="Times New Roman CYR"/>
          <w:color w:val="000000"/>
          <w:sz w:val="28"/>
          <w:szCs w:val="28"/>
        </w:rPr>
        <w:t>; водоотведение, организация сбора и утилизация отходов, деятельно</w:t>
      </w:r>
      <w:r w:rsidRPr="00606638">
        <w:rPr>
          <w:rFonts w:ascii="Times New Roman CYR" w:hAnsi="Times New Roman CYR" w:cs="Times New Roman CYR"/>
          <w:color w:val="000000"/>
          <w:sz w:val="28"/>
          <w:szCs w:val="28"/>
        </w:rPr>
        <w:t>сть по ликвидации загрязнений</w:t>
      </w:r>
      <w:r w:rsidR="005F1BCF">
        <w:rPr>
          <w:rFonts w:ascii="Times New Roman CYR" w:hAnsi="Times New Roman CYR" w:cs="Times New Roman CYR"/>
          <w:color w:val="000000"/>
          <w:sz w:val="28"/>
          <w:szCs w:val="28"/>
        </w:rPr>
        <w:t xml:space="preserve">» </w:t>
      </w:r>
      <w:r w:rsidR="00E623F7">
        <w:rPr>
          <w:rFonts w:ascii="Times New Roman CYR" w:hAnsi="Times New Roman CYR" w:cs="Times New Roman CYR"/>
          <w:color w:val="000000"/>
          <w:sz w:val="28"/>
          <w:szCs w:val="28"/>
        </w:rPr>
        <w:t>20 195,63</w:t>
      </w:r>
      <w:r w:rsidR="005F1BCF"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руб.</w:t>
      </w:r>
    </w:p>
    <w:p w:rsidR="003433BE" w:rsidRDefault="003433BE" w:rsidP="009A50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неизменном темпе роста объема отгруженных товаров,</w:t>
      </w:r>
      <w:r w:rsidR="006321CA">
        <w:rPr>
          <w:rFonts w:ascii="Times New Roman CYR" w:hAnsi="Times New Roman CYR" w:cs="Times New Roman CYR"/>
          <w:color w:val="000000"/>
          <w:sz w:val="28"/>
          <w:szCs w:val="28"/>
        </w:rPr>
        <w:t xml:space="preserve"> сложившегося в 1-м полугодии</w:t>
      </w:r>
      <w:r w:rsidR="006C6F0B">
        <w:rPr>
          <w:rFonts w:ascii="Times New Roman CYR" w:hAnsi="Times New Roman CYR" w:cs="Times New Roman CYR"/>
          <w:color w:val="000000"/>
          <w:sz w:val="28"/>
          <w:szCs w:val="28"/>
        </w:rPr>
        <w:t xml:space="preserve"> 202</w:t>
      </w:r>
      <w:r w:rsidR="00E623F7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6321CA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года</w:t>
      </w:r>
      <w:r w:rsidR="009A5011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возможно отклон</w:t>
      </w:r>
      <w:r w:rsidR="006C6F0B">
        <w:rPr>
          <w:rFonts w:ascii="Times New Roman CYR" w:hAnsi="Times New Roman CYR" w:cs="Times New Roman CYR"/>
          <w:color w:val="000000"/>
          <w:sz w:val="28"/>
          <w:szCs w:val="28"/>
        </w:rPr>
        <w:t>ение от показателей в оценке 202</w:t>
      </w:r>
      <w:r w:rsidR="004A1B76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года</w:t>
      </w:r>
      <w:r w:rsidR="009A5011">
        <w:rPr>
          <w:rFonts w:ascii="Times New Roman CYR" w:hAnsi="Times New Roman CYR" w:cs="Times New Roman CYR"/>
          <w:color w:val="000000"/>
          <w:sz w:val="28"/>
          <w:szCs w:val="28"/>
        </w:rPr>
        <w:t xml:space="preserve"> в сторону </w:t>
      </w:r>
      <w:r w:rsidR="006C6F0B">
        <w:rPr>
          <w:rFonts w:ascii="Times New Roman CYR" w:hAnsi="Times New Roman CYR" w:cs="Times New Roman CYR"/>
          <w:color w:val="000000"/>
          <w:sz w:val="28"/>
          <w:szCs w:val="28"/>
        </w:rPr>
        <w:t>снижения</w:t>
      </w:r>
      <w:r w:rsidR="009A5011"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r w:rsidR="00F00D2B">
        <w:rPr>
          <w:rFonts w:ascii="Times New Roman CYR" w:hAnsi="Times New Roman CYR" w:cs="Times New Roman CYR"/>
          <w:color w:val="000000"/>
          <w:sz w:val="28"/>
          <w:szCs w:val="28"/>
        </w:rPr>
        <w:t xml:space="preserve">наибольшее снижение </w:t>
      </w:r>
      <w:r w:rsidR="009A5011">
        <w:rPr>
          <w:rFonts w:ascii="Times New Roman CYR" w:hAnsi="Times New Roman CYR" w:cs="Times New Roman CYR"/>
          <w:color w:val="000000"/>
          <w:sz w:val="28"/>
          <w:szCs w:val="28"/>
        </w:rPr>
        <w:t>за счет отгруженной продукции по виду деятельности «</w:t>
      </w:r>
      <w:r w:rsidR="007C0025" w:rsidRPr="007C0025">
        <w:rPr>
          <w:rFonts w:ascii="Times New Roman CYR" w:hAnsi="Times New Roman CYR" w:cs="Times New Roman CYR"/>
          <w:color w:val="000000"/>
          <w:sz w:val="28"/>
          <w:szCs w:val="28"/>
        </w:rPr>
        <w:t>Обрабатывающие производства</w:t>
      </w:r>
      <w:r w:rsidR="009A5011">
        <w:rPr>
          <w:rFonts w:ascii="Times New Roman CYR" w:hAnsi="Times New Roman CYR" w:cs="Times New Roman CYR"/>
          <w:color w:val="000000"/>
          <w:sz w:val="28"/>
          <w:szCs w:val="28"/>
        </w:rPr>
        <w:t>».</w:t>
      </w:r>
    </w:p>
    <w:p w:rsidR="0091253D" w:rsidRPr="00B53931" w:rsidRDefault="0091253D" w:rsidP="0091253D">
      <w:pPr>
        <w:widowControl w:val="0"/>
        <w:spacing w:before="120" w:after="120" w:line="240" w:lineRule="auto"/>
        <w:ind w:firstLine="720"/>
        <w:jc w:val="both"/>
        <w:rPr>
          <w:i/>
          <w:sz w:val="28"/>
          <w:szCs w:val="28"/>
        </w:rPr>
      </w:pPr>
      <w:r w:rsidRPr="00B53931">
        <w:rPr>
          <w:i/>
          <w:sz w:val="28"/>
          <w:szCs w:val="28"/>
        </w:rPr>
        <w:t xml:space="preserve">Сравнение годовой оценки с прогнозируемыми </w:t>
      </w:r>
      <w:r w:rsidR="00BC02A3">
        <w:rPr>
          <w:i/>
          <w:sz w:val="28"/>
          <w:szCs w:val="28"/>
        </w:rPr>
        <w:t>параметрами приведено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1"/>
        <w:gridCol w:w="1459"/>
        <w:gridCol w:w="1077"/>
        <w:gridCol w:w="1148"/>
        <w:gridCol w:w="1179"/>
        <w:gridCol w:w="1107"/>
        <w:gridCol w:w="1157"/>
      </w:tblGrid>
      <w:tr w:rsidR="001A7A70" w:rsidRPr="009C7083" w:rsidTr="001A7A70">
        <w:trPr>
          <w:tblHeader/>
          <w:jc w:val="center"/>
        </w:trPr>
        <w:tc>
          <w:tcPr>
            <w:tcW w:w="2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2F68D4" w:rsidP="00FA4D28">
            <w:pPr>
              <w:widowControl w:val="0"/>
              <w:spacing w:before="120" w:after="120"/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</w:pPr>
            <w:r w:rsidRPr="002F68D4">
              <w:rPr>
                <w:i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4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2F68D4" w:rsidP="00FA4D28">
            <w:pPr>
              <w:widowControl w:val="0"/>
              <w:spacing w:before="120" w:after="120"/>
              <w:jc w:val="center"/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</w:pPr>
            <w:r w:rsidRPr="002F68D4">
              <w:rPr>
                <w:i/>
                <w:sz w:val="20"/>
                <w:szCs w:val="20"/>
              </w:rPr>
              <w:t xml:space="preserve">Единица </w:t>
            </w:r>
            <w:r w:rsidRPr="002F68D4">
              <w:rPr>
                <w:i/>
                <w:sz w:val="20"/>
                <w:szCs w:val="20"/>
              </w:rPr>
              <w:br/>
              <w:t>измерения</w:t>
            </w:r>
          </w:p>
        </w:tc>
        <w:tc>
          <w:tcPr>
            <w:tcW w:w="1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2F68D4" w:rsidP="004A1B76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2F68D4">
              <w:rPr>
                <w:i/>
                <w:sz w:val="20"/>
                <w:szCs w:val="20"/>
              </w:rPr>
              <w:t>Факт на 20</w:t>
            </w:r>
            <w:r w:rsidR="00B8488A">
              <w:rPr>
                <w:i/>
                <w:sz w:val="20"/>
                <w:szCs w:val="20"/>
              </w:rPr>
              <w:t>2</w:t>
            </w:r>
            <w:r w:rsidR="004A1B76">
              <w:rPr>
                <w:i/>
                <w:sz w:val="20"/>
                <w:szCs w:val="20"/>
              </w:rPr>
              <w:t>1</w:t>
            </w:r>
            <w:r w:rsidRPr="002F68D4">
              <w:rPr>
                <w:i/>
                <w:sz w:val="20"/>
                <w:szCs w:val="20"/>
              </w:rPr>
              <w:t xml:space="preserve"> год</w:t>
            </w:r>
          </w:p>
        </w:tc>
        <w:tc>
          <w:tcPr>
            <w:tcW w:w="1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2F68D4" w:rsidP="00FA4D28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2F68D4">
              <w:rPr>
                <w:i/>
                <w:sz w:val="20"/>
                <w:szCs w:val="20"/>
              </w:rPr>
              <w:t>Факт</w:t>
            </w:r>
          </w:p>
          <w:p w:rsidR="002F68D4" w:rsidRPr="002F68D4" w:rsidRDefault="002F68D4" w:rsidP="00FA4D28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2F68D4">
              <w:rPr>
                <w:i/>
                <w:sz w:val="20"/>
                <w:szCs w:val="20"/>
              </w:rPr>
              <w:t>1 полугодие</w:t>
            </w:r>
          </w:p>
          <w:p w:rsidR="002F68D4" w:rsidRPr="002F68D4" w:rsidRDefault="002F68D4" w:rsidP="004A1B76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2F68D4">
              <w:rPr>
                <w:i/>
                <w:sz w:val="20"/>
                <w:szCs w:val="20"/>
              </w:rPr>
              <w:t>20</w:t>
            </w:r>
            <w:r w:rsidR="006C6F0B">
              <w:rPr>
                <w:i/>
                <w:sz w:val="20"/>
                <w:szCs w:val="20"/>
              </w:rPr>
              <w:t>2</w:t>
            </w:r>
            <w:r w:rsidR="004A1B76">
              <w:rPr>
                <w:i/>
                <w:sz w:val="20"/>
                <w:szCs w:val="20"/>
              </w:rPr>
              <w:t>2</w:t>
            </w:r>
            <w:r w:rsidRPr="002F68D4">
              <w:rPr>
                <w:i/>
                <w:sz w:val="20"/>
                <w:szCs w:val="20"/>
              </w:rPr>
              <w:t xml:space="preserve"> года</w:t>
            </w:r>
          </w:p>
        </w:tc>
        <w:tc>
          <w:tcPr>
            <w:tcW w:w="11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7258B4" w:rsidP="004A1B76">
            <w:pPr>
              <w:widowControl w:val="0"/>
              <w:spacing w:before="120" w:after="120"/>
              <w:jc w:val="center"/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</w:rPr>
              <w:t>Оценка</w:t>
            </w:r>
            <w:r w:rsidR="002F68D4" w:rsidRPr="002F68D4">
              <w:rPr>
                <w:i/>
                <w:sz w:val="20"/>
                <w:szCs w:val="20"/>
              </w:rPr>
              <w:br/>
              <w:t>на 20</w:t>
            </w:r>
            <w:r w:rsidR="001702BC">
              <w:rPr>
                <w:i/>
                <w:sz w:val="20"/>
                <w:szCs w:val="20"/>
              </w:rPr>
              <w:t>2</w:t>
            </w:r>
            <w:r w:rsidR="004A1B76">
              <w:rPr>
                <w:i/>
                <w:sz w:val="20"/>
                <w:szCs w:val="20"/>
              </w:rPr>
              <w:t>2</w:t>
            </w:r>
            <w:r w:rsidR="002F68D4" w:rsidRPr="002F68D4">
              <w:rPr>
                <w:i/>
                <w:sz w:val="20"/>
                <w:szCs w:val="20"/>
              </w:rPr>
              <w:t xml:space="preserve"> год</w:t>
            </w:r>
          </w:p>
        </w:tc>
        <w:tc>
          <w:tcPr>
            <w:tcW w:w="1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F0B" w:rsidRDefault="007258B4" w:rsidP="006C6F0B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Прогноз</w:t>
            </w:r>
            <w:r w:rsidR="002F68D4" w:rsidRPr="002F68D4">
              <w:rPr>
                <w:i/>
                <w:sz w:val="20"/>
                <w:szCs w:val="20"/>
              </w:rPr>
              <w:t xml:space="preserve"> </w:t>
            </w:r>
            <w:r w:rsidR="002F68D4" w:rsidRPr="002F68D4">
              <w:rPr>
                <w:i/>
                <w:sz w:val="20"/>
                <w:szCs w:val="20"/>
              </w:rPr>
              <w:br/>
              <w:t>на 20</w:t>
            </w:r>
            <w:r w:rsidR="006C6F0B">
              <w:rPr>
                <w:i/>
                <w:sz w:val="20"/>
                <w:szCs w:val="20"/>
              </w:rPr>
              <w:t>2</w:t>
            </w:r>
            <w:r w:rsidR="004A1B76">
              <w:rPr>
                <w:i/>
                <w:sz w:val="20"/>
                <w:szCs w:val="20"/>
              </w:rPr>
              <w:t>2</w:t>
            </w:r>
          </w:p>
          <w:p w:rsidR="002F68D4" w:rsidRPr="002F68D4" w:rsidRDefault="002F68D4" w:rsidP="006C6F0B">
            <w:pPr>
              <w:widowControl w:val="0"/>
              <w:spacing w:before="120" w:after="120"/>
              <w:jc w:val="center"/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</w:pPr>
            <w:r w:rsidRPr="002F68D4">
              <w:rPr>
                <w:i/>
                <w:sz w:val="20"/>
                <w:szCs w:val="20"/>
              </w:rPr>
              <w:t>год</w:t>
            </w:r>
          </w:p>
        </w:tc>
        <w:tc>
          <w:tcPr>
            <w:tcW w:w="1163" w:type="dxa"/>
          </w:tcPr>
          <w:p w:rsidR="002F68D4" w:rsidRPr="002F68D4" w:rsidRDefault="002F68D4" w:rsidP="00285891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2F68D4">
              <w:rPr>
                <w:i/>
                <w:sz w:val="20"/>
                <w:szCs w:val="20"/>
              </w:rPr>
              <w:t xml:space="preserve">Отклонение от </w:t>
            </w:r>
            <w:r w:rsidR="00285891">
              <w:rPr>
                <w:i/>
                <w:sz w:val="20"/>
                <w:szCs w:val="20"/>
              </w:rPr>
              <w:t>оценки</w:t>
            </w:r>
          </w:p>
        </w:tc>
      </w:tr>
      <w:tr w:rsidR="001A7A70" w:rsidRPr="009C7083" w:rsidTr="001A7A70">
        <w:trPr>
          <w:trHeight w:val="327"/>
          <w:tblHeader/>
          <w:jc w:val="center"/>
        </w:trPr>
        <w:tc>
          <w:tcPr>
            <w:tcW w:w="2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2F68D4" w:rsidP="002F68D4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4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2F68D4" w:rsidP="002F68D4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2F68D4" w:rsidP="002F68D4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2F68D4" w:rsidP="002F68D4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1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2F68D4" w:rsidP="002F68D4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2F68D4" w:rsidP="002F68D4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163" w:type="dxa"/>
          </w:tcPr>
          <w:p w:rsidR="002F68D4" w:rsidRPr="002F68D4" w:rsidRDefault="002F68D4" w:rsidP="002F68D4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</w:p>
        </w:tc>
      </w:tr>
      <w:tr w:rsidR="001A7A70" w:rsidRPr="00056CC4" w:rsidTr="009A5011">
        <w:trPr>
          <w:jc w:val="center"/>
        </w:trPr>
        <w:tc>
          <w:tcPr>
            <w:tcW w:w="2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9A5011" w:rsidRDefault="001935E8" w:rsidP="00FA4D28">
            <w:pPr>
              <w:pStyle w:val="a4"/>
              <w:widowControl w:val="0"/>
              <w:ind w:left="0"/>
              <w:rPr>
                <w:i/>
                <w:sz w:val="20"/>
                <w:szCs w:val="20"/>
                <w:lang w:eastAsia="en-US"/>
              </w:rPr>
            </w:pPr>
            <w:r w:rsidRPr="009A5011">
              <w:rPr>
                <w:i/>
                <w:sz w:val="20"/>
                <w:szCs w:val="20"/>
                <w:lang w:eastAsia="en-US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</w:t>
            </w:r>
          </w:p>
        </w:tc>
        <w:tc>
          <w:tcPr>
            <w:tcW w:w="14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F00D2B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F00D2B" w:rsidP="00EC7440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F00D2B" w:rsidP="00EC7440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F00D2B" w:rsidP="00EC7440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F00D2B" w:rsidP="00EC7440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3" w:type="dxa"/>
          </w:tcPr>
          <w:p w:rsidR="002F68D4" w:rsidRPr="002F68D4" w:rsidRDefault="00F00D2B" w:rsidP="00EC7440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1A7A70" w:rsidRPr="00056CC4" w:rsidTr="00462308">
        <w:trPr>
          <w:jc w:val="center"/>
        </w:trPr>
        <w:tc>
          <w:tcPr>
            <w:tcW w:w="2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1A7A70" w:rsidRDefault="00E53C33" w:rsidP="00FA4D28">
            <w:pPr>
              <w:pStyle w:val="a4"/>
              <w:widowControl w:val="0"/>
              <w:ind w:left="0"/>
              <w:rPr>
                <w:i/>
                <w:sz w:val="20"/>
                <w:szCs w:val="20"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20"/>
                <w:szCs w:val="20"/>
              </w:rPr>
              <w:t>С: Обрабатывающие производства</w:t>
            </w:r>
          </w:p>
        </w:tc>
        <w:tc>
          <w:tcPr>
            <w:tcW w:w="14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Default="001A7A70" w:rsidP="001A7A70">
            <w:pPr>
              <w:jc w:val="center"/>
            </w:pPr>
            <w:r w:rsidRPr="00E16C49">
              <w:rPr>
                <w:rFonts w:eastAsia="Calibri"/>
                <w:i/>
                <w:sz w:val="20"/>
                <w:szCs w:val="20"/>
                <w:lang w:eastAsia="en-US"/>
              </w:rPr>
              <w:t>Тыс</w:t>
            </w:r>
            <w:proofErr w:type="gramStart"/>
            <w:r w:rsidRPr="00E16C49">
              <w:rPr>
                <w:rFonts w:eastAsia="Calibri"/>
                <w:i/>
                <w:sz w:val="20"/>
                <w:szCs w:val="20"/>
                <w:lang w:eastAsia="en-US"/>
              </w:rPr>
              <w:t>.р</w:t>
            </w:r>
            <w:proofErr w:type="gramEnd"/>
            <w:r w:rsidRPr="00E16C49">
              <w:rPr>
                <w:rFonts w:eastAsia="Calibri"/>
                <w:i/>
                <w:sz w:val="20"/>
                <w:szCs w:val="20"/>
                <w:lang w:eastAsia="en-US"/>
              </w:rPr>
              <w:t>ублей</w:t>
            </w:r>
          </w:p>
        </w:tc>
        <w:tc>
          <w:tcPr>
            <w:tcW w:w="10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7A70" w:rsidRDefault="004A1B76" w:rsidP="00F00D2B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2991289,0</w:t>
            </w:r>
          </w:p>
        </w:tc>
        <w:tc>
          <w:tcPr>
            <w:tcW w:w="11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7A70" w:rsidRPr="002F68D4" w:rsidRDefault="004A1B76" w:rsidP="0091253D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2730770,6</w:t>
            </w:r>
          </w:p>
        </w:tc>
        <w:tc>
          <w:tcPr>
            <w:tcW w:w="11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7A70" w:rsidRDefault="004A1B76" w:rsidP="00FA4D28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3439982,35</w:t>
            </w:r>
          </w:p>
        </w:tc>
        <w:tc>
          <w:tcPr>
            <w:tcW w:w="1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7A70" w:rsidRPr="001935E8" w:rsidRDefault="004A1B76" w:rsidP="0091253D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5867712,5</w:t>
            </w:r>
          </w:p>
        </w:tc>
        <w:tc>
          <w:tcPr>
            <w:tcW w:w="1163" w:type="dxa"/>
            <w:vAlign w:val="center"/>
          </w:tcPr>
          <w:p w:rsidR="001A7A70" w:rsidRDefault="004A1B76" w:rsidP="00EE604A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2427730,15</w:t>
            </w:r>
          </w:p>
        </w:tc>
      </w:tr>
      <w:tr w:rsidR="001A7A70" w:rsidRPr="00056CC4" w:rsidTr="009A5011">
        <w:trPr>
          <w:jc w:val="center"/>
        </w:trPr>
        <w:tc>
          <w:tcPr>
            <w:tcW w:w="2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1935E8" w:rsidRDefault="001A7A70" w:rsidP="00FA4D28">
            <w:pPr>
              <w:pStyle w:val="a4"/>
              <w:widowControl w:val="0"/>
              <w:ind w:left="0"/>
              <w:rPr>
                <w:i/>
                <w:sz w:val="20"/>
                <w:szCs w:val="20"/>
                <w:lang w:eastAsia="en-US"/>
              </w:rPr>
            </w:pPr>
            <w:r w:rsidRPr="001A7A70">
              <w:rPr>
                <w:i/>
                <w:sz w:val="20"/>
                <w:szCs w:val="20"/>
                <w:lang w:eastAsia="en-US"/>
              </w:rPr>
              <w:t>D: Обеспечение электрической энергией, газом и паром; кондиционирование воздуха</w:t>
            </w:r>
          </w:p>
        </w:tc>
        <w:tc>
          <w:tcPr>
            <w:tcW w:w="14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Default="001A7A70" w:rsidP="001A7A70">
            <w:pPr>
              <w:jc w:val="center"/>
            </w:pPr>
            <w:r w:rsidRPr="00E16C49">
              <w:rPr>
                <w:rFonts w:eastAsia="Calibri"/>
                <w:i/>
                <w:sz w:val="20"/>
                <w:szCs w:val="20"/>
                <w:lang w:eastAsia="en-US"/>
              </w:rPr>
              <w:t>Тыс</w:t>
            </w:r>
            <w:proofErr w:type="gramStart"/>
            <w:r w:rsidRPr="00E16C49">
              <w:rPr>
                <w:rFonts w:eastAsia="Calibri"/>
                <w:i/>
                <w:sz w:val="20"/>
                <w:szCs w:val="20"/>
                <w:lang w:eastAsia="en-US"/>
              </w:rPr>
              <w:t>.р</w:t>
            </w:r>
            <w:proofErr w:type="gramEnd"/>
            <w:r w:rsidRPr="00E16C49">
              <w:rPr>
                <w:rFonts w:eastAsia="Calibri"/>
                <w:i/>
                <w:sz w:val="20"/>
                <w:szCs w:val="20"/>
                <w:lang w:eastAsia="en-US"/>
              </w:rPr>
              <w:t>ублей</w:t>
            </w:r>
          </w:p>
        </w:tc>
        <w:tc>
          <w:tcPr>
            <w:tcW w:w="1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343276,0</w:t>
            </w:r>
          </w:p>
        </w:tc>
        <w:tc>
          <w:tcPr>
            <w:tcW w:w="1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2F68D4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191229,6</w:t>
            </w:r>
          </w:p>
        </w:tc>
        <w:tc>
          <w:tcPr>
            <w:tcW w:w="11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377603,6</w:t>
            </w:r>
          </w:p>
        </w:tc>
        <w:tc>
          <w:tcPr>
            <w:tcW w:w="1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1935E8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358036,87</w:t>
            </w:r>
          </w:p>
        </w:tc>
        <w:tc>
          <w:tcPr>
            <w:tcW w:w="1163" w:type="dxa"/>
          </w:tcPr>
          <w:p w:rsidR="001A7A70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-19566,73</w:t>
            </w:r>
          </w:p>
        </w:tc>
      </w:tr>
      <w:tr w:rsidR="001A7A70" w:rsidRPr="00056CC4" w:rsidTr="009A5011">
        <w:trPr>
          <w:jc w:val="center"/>
        </w:trPr>
        <w:tc>
          <w:tcPr>
            <w:tcW w:w="2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1935E8" w:rsidRDefault="001A7A70" w:rsidP="001A7A70">
            <w:pPr>
              <w:pStyle w:val="a4"/>
              <w:widowControl w:val="0"/>
              <w:ind w:left="0"/>
              <w:rPr>
                <w:i/>
                <w:sz w:val="20"/>
                <w:szCs w:val="20"/>
                <w:lang w:eastAsia="en-US"/>
              </w:rPr>
            </w:pPr>
            <w:r w:rsidRPr="001A7A70">
              <w:rPr>
                <w:i/>
                <w:sz w:val="20"/>
                <w:szCs w:val="20"/>
                <w:lang w:eastAsia="en-US"/>
              </w:rPr>
              <w:t>E: Водосн</w:t>
            </w:r>
            <w:r>
              <w:rPr>
                <w:i/>
                <w:sz w:val="20"/>
                <w:szCs w:val="20"/>
                <w:lang w:eastAsia="en-US"/>
              </w:rPr>
              <w:t>абжение</w:t>
            </w:r>
            <w:r w:rsidRPr="001A7A70">
              <w:rPr>
                <w:i/>
                <w:sz w:val="20"/>
                <w:szCs w:val="20"/>
                <w:lang w:eastAsia="en-US"/>
              </w:rPr>
              <w:t>; водо</w:t>
            </w:r>
            <w:r>
              <w:rPr>
                <w:i/>
                <w:sz w:val="20"/>
                <w:szCs w:val="20"/>
                <w:lang w:eastAsia="en-US"/>
              </w:rPr>
              <w:t>отв</w:t>
            </w:r>
            <w:r w:rsidRPr="001A7A70">
              <w:rPr>
                <w:i/>
                <w:sz w:val="20"/>
                <w:szCs w:val="20"/>
                <w:lang w:eastAsia="en-US"/>
              </w:rPr>
              <w:t>е</w:t>
            </w:r>
            <w:r>
              <w:rPr>
                <w:i/>
                <w:sz w:val="20"/>
                <w:szCs w:val="20"/>
                <w:lang w:eastAsia="en-US"/>
              </w:rPr>
              <w:t>дение</w:t>
            </w:r>
            <w:r w:rsidRPr="001A7A70">
              <w:rPr>
                <w:i/>
                <w:sz w:val="20"/>
                <w:szCs w:val="20"/>
                <w:lang w:eastAsia="en-US"/>
              </w:rPr>
              <w:t>, орг</w:t>
            </w:r>
            <w:r>
              <w:rPr>
                <w:i/>
                <w:sz w:val="20"/>
                <w:szCs w:val="20"/>
                <w:lang w:eastAsia="en-US"/>
              </w:rPr>
              <w:t>анизация сбора и утилизация</w:t>
            </w:r>
            <w:r w:rsidRPr="001A7A70">
              <w:rPr>
                <w:i/>
                <w:sz w:val="20"/>
                <w:szCs w:val="20"/>
                <w:lang w:eastAsia="en-US"/>
              </w:rPr>
              <w:t xml:space="preserve"> отходов, деят</w:t>
            </w:r>
            <w:r>
              <w:rPr>
                <w:i/>
                <w:sz w:val="20"/>
                <w:szCs w:val="20"/>
                <w:lang w:eastAsia="en-US"/>
              </w:rPr>
              <w:t>ельно</w:t>
            </w:r>
            <w:r w:rsidRPr="001A7A70">
              <w:rPr>
                <w:i/>
                <w:sz w:val="20"/>
                <w:szCs w:val="20"/>
                <w:lang w:eastAsia="en-US"/>
              </w:rPr>
              <w:t>сть по ликвидации загрязнений</w:t>
            </w:r>
          </w:p>
        </w:tc>
        <w:tc>
          <w:tcPr>
            <w:tcW w:w="14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Default="001A7A70" w:rsidP="001A7A70">
            <w:pPr>
              <w:jc w:val="center"/>
            </w:pPr>
            <w:r w:rsidRPr="00E16C49">
              <w:rPr>
                <w:rFonts w:eastAsia="Calibri"/>
                <w:i/>
                <w:sz w:val="20"/>
                <w:szCs w:val="20"/>
                <w:lang w:eastAsia="en-US"/>
              </w:rPr>
              <w:t>Тыс</w:t>
            </w:r>
            <w:proofErr w:type="gramStart"/>
            <w:r w:rsidRPr="00E16C49">
              <w:rPr>
                <w:rFonts w:eastAsia="Calibri"/>
                <w:i/>
                <w:sz w:val="20"/>
                <w:szCs w:val="20"/>
                <w:lang w:eastAsia="en-US"/>
              </w:rPr>
              <w:t>.р</w:t>
            </w:r>
            <w:proofErr w:type="gramEnd"/>
            <w:r w:rsidRPr="00E16C49">
              <w:rPr>
                <w:rFonts w:eastAsia="Calibri"/>
                <w:i/>
                <w:sz w:val="20"/>
                <w:szCs w:val="20"/>
                <w:lang w:eastAsia="en-US"/>
              </w:rPr>
              <w:t>ублей</w:t>
            </w:r>
          </w:p>
        </w:tc>
        <w:tc>
          <w:tcPr>
            <w:tcW w:w="1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37344,00</w:t>
            </w:r>
          </w:p>
        </w:tc>
        <w:tc>
          <w:tcPr>
            <w:tcW w:w="1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2F68D4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20195,63</w:t>
            </w:r>
          </w:p>
        </w:tc>
        <w:tc>
          <w:tcPr>
            <w:tcW w:w="11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38837,76</w:t>
            </w:r>
          </w:p>
        </w:tc>
        <w:tc>
          <w:tcPr>
            <w:tcW w:w="1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1935E8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52000,79</w:t>
            </w:r>
          </w:p>
        </w:tc>
        <w:tc>
          <w:tcPr>
            <w:tcW w:w="1163" w:type="dxa"/>
          </w:tcPr>
          <w:p w:rsidR="001A7A70" w:rsidRDefault="004A1B76" w:rsidP="007C0025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13163,03</w:t>
            </w:r>
          </w:p>
        </w:tc>
      </w:tr>
      <w:tr w:rsidR="001A7A70" w:rsidRPr="00056CC4" w:rsidTr="009A5011">
        <w:trPr>
          <w:jc w:val="center"/>
        </w:trPr>
        <w:tc>
          <w:tcPr>
            <w:tcW w:w="2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9A5011" w:rsidRDefault="002F68D4" w:rsidP="002F68D4">
            <w:pPr>
              <w:pStyle w:val="a4"/>
              <w:widowControl w:val="0"/>
              <w:ind w:left="0"/>
              <w:rPr>
                <w:i/>
                <w:sz w:val="20"/>
                <w:szCs w:val="20"/>
                <w:lang w:eastAsia="en-US"/>
              </w:rPr>
            </w:pPr>
            <w:r w:rsidRPr="009A5011">
              <w:rPr>
                <w:i/>
                <w:sz w:val="20"/>
                <w:szCs w:val="20"/>
                <w:lang w:eastAsia="en-US"/>
              </w:rPr>
              <w:t>Темп роста объема отгруженных товаров собственного производства, выполненных работ и услуг, к соответствующему периоду предыдущего года</w:t>
            </w:r>
          </w:p>
        </w:tc>
        <w:tc>
          <w:tcPr>
            <w:tcW w:w="14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68D4" w:rsidRPr="002F68D4" w:rsidRDefault="002F68D4" w:rsidP="00FA4D28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F68D4">
              <w:rPr>
                <w:rFonts w:eastAsia="Calibri"/>
                <w:i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F00D2B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F00D2B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F00D2B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2F68D4" w:rsidRDefault="00F00D2B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3" w:type="dxa"/>
          </w:tcPr>
          <w:p w:rsidR="002F68D4" w:rsidRPr="002F68D4" w:rsidRDefault="00F00D2B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1A7A70" w:rsidRPr="00056CC4" w:rsidTr="009A5011">
        <w:trPr>
          <w:jc w:val="center"/>
        </w:trPr>
        <w:tc>
          <w:tcPr>
            <w:tcW w:w="2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1A7A70" w:rsidRDefault="001A7A70" w:rsidP="00462308">
            <w:pPr>
              <w:pStyle w:val="a4"/>
              <w:widowControl w:val="0"/>
              <w:ind w:left="0"/>
              <w:rPr>
                <w:i/>
                <w:sz w:val="20"/>
                <w:szCs w:val="20"/>
                <w:lang w:eastAsia="en-US"/>
              </w:rPr>
            </w:pPr>
            <w:r w:rsidRPr="001A7A70">
              <w:rPr>
                <w:rFonts w:ascii="Times New Roman CYR" w:hAnsi="Times New Roman CYR" w:cs="Times New Roman CYR"/>
                <w:i/>
                <w:color w:val="000000"/>
                <w:sz w:val="20"/>
                <w:szCs w:val="20"/>
              </w:rPr>
              <w:t xml:space="preserve">С: Обрабатывающие </w:t>
            </w:r>
            <w:r w:rsidR="00E53C33">
              <w:rPr>
                <w:rFonts w:ascii="Times New Roman CYR" w:hAnsi="Times New Roman CYR" w:cs="Times New Roman CYR"/>
                <w:i/>
                <w:color w:val="000000"/>
                <w:sz w:val="20"/>
                <w:szCs w:val="20"/>
              </w:rPr>
              <w:t>производства</w:t>
            </w:r>
          </w:p>
        </w:tc>
        <w:tc>
          <w:tcPr>
            <w:tcW w:w="14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Default="001A7A70" w:rsidP="001A7A70">
            <w:pPr>
              <w:jc w:val="center"/>
            </w:pPr>
            <w:r w:rsidRPr="002D6CCD">
              <w:rPr>
                <w:rFonts w:eastAsia="Calibri"/>
                <w:i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2F68D4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1A7A70" w:rsidRDefault="004A1B76" w:rsidP="007C0025">
            <w:pPr>
              <w:jc w:val="center"/>
              <w:outlineLvl w:val="1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196,16</w:t>
            </w:r>
          </w:p>
        </w:tc>
        <w:tc>
          <w:tcPr>
            <w:tcW w:w="11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2F68D4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1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2F68D4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196,16</w:t>
            </w:r>
          </w:p>
        </w:tc>
        <w:tc>
          <w:tcPr>
            <w:tcW w:w="1163" w:type="dxa"/>
          </w:tcPr>
          <w:p w:rsidR="001A7A70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81,16</w:t>
            </w:r>
          </w:p>
        </w:tc>
      </w:tr>
      <w:tr w:rsidR="001A7A70" w:rsidRPr="00056CC4" w:rsidTr="009A5011">
        <w:trPr>
          <w:jc w:val="center"/>
        </w:trPr>
        <w:tc>
          <w:tcPr>
            <w:tcW w:w="2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1935E8" w:rsidRDefault="001A7A70" w:rsidP="00462308">
            <w:pPr>
              <w:pStyle w:val="a4"/>
              <w:widowControl w:val="0"/>
              <w:ind w:left="0"/>
              <w:rPr>
                <w:i/>
                <w:sz w:val="20"/>
                <w:szCs w:val="20"/>
                <w:lang w:eastAsia="en-US"/>
              </w:rPr>
            </w:pPr>
            <w:r w:rsidRPr="001A7A70">
              <w:rPr>
                <w:i/>
                <w:sz w:val="20"/>
                <w:szCs w:val="20"/>
                <w:lang w:eastAsia="en-US"/>
              </w:rPr>
              <w:lastRenderedPageBreak/>
              <w:t>D: Обеспечение электрической энергией, газом и паром; кондиционирование воздуха</w:t>
            </w:r>
          </w:p>
        </w:tc>
        <w:tc>
          <w:tcPr>
            <w:tcW w:w="14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Default="001A7A70" w:rsidP="001A7A70">
            <w:pPr>
              <w:jc w:val="center"/>
            </w:pPr>
            <w:r w:rsidRPr="002D6CCD">
              <w:rPr>
                <w:rFonts w:eastAsia="Calibri"/>
                <w:i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2F68D4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111,2</w:t>
            </w:r>
          </w:p>
        </w:tc>
        <w:tc>
          <w:tcPr>
            <w:tcW w:w="1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2F68D4" w:rsidRDefault="004A1B76" w:rsidP="007C0025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104,32</w:t>
            </w:r>
          </w:p>
        </w:tc>
        <w:tc>
          <w:tcPr>
            <w:tcW w:w="11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2F68D4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110,0</w:t>
            </w:r>
          </w:p>
        </w:tc>
        <w:tc>
          <w:tcPr>
            <w:tcW w:w="1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2F68D4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104,32</w:t>
            </w:r>
          </w:p>
        </w:tc>
        <w:tc>
          <w:tcPr>
            <w:tcW w:w="1163" w:type="dxa"/>
          </w:tcPr>
          <w:p w:rsidR="001A7A70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-5,68</w:t>
            </w:r>
          </w:p>
        </w:tc>
      </w:tr>
      <w:tr w:rsidR="001A7A70" w:rsidRPr="00056CC4" w:rsidTr="009A5011">
        <w:trPr>
          <w:jc w:val="center"/>
        </w:trPr>
        <w:tc>
          <w:tcPr>
            <w:tcW w:w="2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1935E8" w:rsidRDefault="001A7A70" w:rsidP="00462308">
            <w:pPr>
              <w:pStyle w:val="a4"/>
              <w:widowControl w:val="0"/>
              <w:ind w:left="0"/>
              <w:rPr>
                <w:i/>
                <w:sz w:val="20"/>
                <w:szCs w:val="20"/>
                <w:lang w:eastAsia="en-US"/>
              </w:rPr>
            </w:pPr>
            <w:r w:rsidRPr="001A7A70">
              <w:rPr>
                <w:i/>
                <w:sz w:val="20"/>
                <w:szCs w:val="20"/>
                <w:lang w:eastAsia="en-US"/>
              </w:rPr>
              <w:t>E: Водосн</w:t>
            </w:r>
            <w:r>
              <w:rPr>
                <w:i/>
                <w:sz w:val="20"/>
                <w:szCs w:val="20"/>
                <w:lang w:eastAsia="en-US"/>
              </w:rPr>
              <w:t>абжение</w:t>
            </w:r>
            <w:r w:rsidRPr="001A7A70">
              <w:rPr>
                <w:i/>
                <w:sz w:val="20"/>
                <w:szCs w:val="20"/>
                <w:lang w:eastAsia="en-US"/>
              </w:rPr>
              <w:t>; водо</w:t>
            </w:r>
            <w:r>
              <w:rPr>
                <w:i/>
                <w:sz w:val="20"/>
                <w:szCs w:val="20"/>
                <w:lang w:eastAsia="en-US"/>
              </w:rPr>
              <w:t>отв</w:t>
            </w:r>
            <w:r w:rsidRPr="001A7A70">
              <w:rPr>
                <w:i/>
                <w:sz w:val="20"/>
                <w:szCs w:val="20"/>
                <w:lang w:eastAsia="en-US"/>
              </w:rPr>
              <w:t>е</w:t>
            </w:r>
            <w:r>
              <w:rPr>
                <w:i/>
                <w:sz w:val="20"/>
                <w:szCs w:val="20"/>
                <w:lang w:eastAsia="en-US"/>
              </w:rPr>
              <w:t>дение</w:t>
            </w:r>
            <w:r w:rsidRPr="001A7A70">
              <w:rPr>
                <w:i/>
                <w:sz w:val="20"/>
                <w:szCs w:val="20"/>
                <w:lang w:eastAsia="en-US"/>
              </w:rPr>
              <w:t>, орг</w:t>
            </w:r>
            <w:r>
              <w:rPr>
                <w:i/>
                <w:sz w:val="20"/>
                <w:szCs w:val="20"/>
                <w:lang w:eastAsia="en-US"/>
              </w:rPr>
              <w:t>анизация сбора и утилизация</w:t>
            </w:r>
            <w:r w:rsidRPr="001A7A70">
              <w:rPr>
                <w:i/>
                <w:sz w:val="20"/>
                <w:szCs w:val="20"/>
                <w:lang w:eastAsia="en-US"/>
              </w:rPr>
              <w:t xml:space="preserve"> отходов, деят</w:t>
            </w:r>
            <w:r>
              <w:rPr>
                <w:i/>
                <w:sz w:val="20"/>
                <w:szCs w:val="20"/>
                <w:lang w:eastAsia="en-US"/>
              </w:rPr>
              <w:t>ельно</w:t>
            </w:r>
            <w:r w:rsidRPr="001A7A70">
              <w:rPr>
                <w:i/>
                <w:sz w:val="20"/>
                <w:szCs w:val="20"/>
                <w:lang w:eastAsia="en-US"/>
              </w:rPr>
              <w:t>сть по ликвидации загрязнений</w:t>
            </w:r>
          </w:p>
        </w:tc>
        <w:tc>
          <w:tcPr>
            <w:tcW w:w="14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Default="001A7A70" w:rsidP="001A7A70">
            <w:pPr>
              <w:jc w:val="center"/>
            </w:pPr>
            <w:r w:rsidRPr="002D6CCD">
              <w:rPr>
                <w:rFonts w:eastAsia="Calibri"/>
                <w:i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2F68D4" w:rsidRDefault="004A1B76" w:rsidP="00B8488A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137,90</w:t>
            </w:r>
          </w:p>
        </w:tc>
        <w:tc>
          <w:tcPr>
            <w:tcW w:w="11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2F68D4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136,36</w:t>
            </w:r>
          </w:p>
        </w:tc>
        <w:tc>
          <w:tcPr>
            <w:tcW w:w="11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2F68D4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104,0</w:t>
            </w:r>
          </w:p>
        </w:tc>
        <w:tc>
          <w:tcPr>
            <w:tcW w:w="1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2F68D4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139,36</w:t>
            </w:r>
          </w:p>
        </w:tc>
        <w:tc>
          <w:tcPr>
            <w:tcW w:w="1163" w:type="dxa"/>
          </w:tcPr>
          <w:p w:rsidR="001A7A70" w:rsidRDefault="004A1B76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35,36</w:t>
            </w:r>
          </w:p>
        </w:tc>
      </w:tr>
    </w:tbl>
    <w:p w:rsidR="00BB3EE2" w:rsidRDefault="00BB3EE2" w:rsidP="00BB3E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9E48E0" w:rsidRPr="00713404" w:rsidRDefault="00285891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713404">
        <w:rPr>
          <w:rFonts w:ascii="Times New Roman CYR" w:hAnsi="Times New Roman CYR" w:cs="Times New Roman CYR"/>
          <w:b/>
          <w:sz w:val="28"/>
          <w:szCs w:val="28"/>
        </w:rPr>
        <w:t>Сельское хозяйство</w:t>
      </w:r>
      <w:r w:rsidR="00CF44A9" w:rsidRPr="00713404">
        <w:rPr>
          <w:rFonts w:ascii="Times New Roman CYR" w:hAnsi="Times New Roman CYR" w:cs="Times New Roman CYR"/>
          <w:b/>
          <w:sz w:val="28"/>
          <w:szCs w:val="28"/>
        </w:rPr>
        <w:t>, лесное хозяйство</w:t>
      </w:r>
    </w:p>
    <w:p w:rsidR="00285891" w:rsidRDefault="00285891" w:rsidP="009E48E0">
      <w:pPr>
        <w:autoSpaceDE w:val="0"/>
        <w:autoSpaceDN w:val="0"/>
        <w:adjustRightInd w:val="0"/>
        <w:spacing w:after="0" w:line="240" w:lineRule="auto"/>
        <w:ind w:left="140" w:firstLine="56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85891" w:rsidRDefault="00285891" w:rsidP="002858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территории города Боготола сельскохозяйс</w:t>
      </w:r>
      <w:r w:rsidR="00F46E3E">
        <w:rPr>
          <w:rFonts w:ascii="Times New Roman CYR" w:hAnsi="Times New Roman CYR" w:cs="Times New Roman CYR"/>
          <w:sz w:val="28"/>
          <w:szCs w:val="28"/>
        </w:rPr>
        <w:t>твенные организации отсутствуют п</w:t>
      </w:r>
      <w:r>
        <w:rPr>
          <w:rFonts w:ascii="Times New Roman CYR" w:hAnsi="Times New Roman CYR" w:cs="Times New Roman CYR"/>
          <w:sz w:val="28"/>
          <w:szCs w:val="28"/>
        </w:rPr>
        <w:t xml:space="preserve">о причине недостатка свободных земель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сельхозназначения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285891" w:rsidRDefault="00285891" w:rsidP="002858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Показатели социально-экономического развития в разделе «Сельское хозяйство» предс</w:t>
      </w:r>
      <w:r w:rsidR="00AF605D">
        <w:rPr>
          <w:rFonts w:ascii="Times New Roman CYR" w:hAnsi="Times New Roman CYR" w:cs="Times New Roman CYR"/>
          <w:sz w:val="28"/>
          <w:szCs w:val="28"/>
        </w:rPr>
        <w:t>тавлены статистическими данными организаци</w:t>
      </w:r>
      <w:r w:rsidR="00EB2402">
        <w:rPr>
          <w:rFonts w:ascii="Times New Roman CYR" w:hAnsi="Times New Roman CYR" w:cs="Times New Roman CYR"/>
          <w:sz w:val="28"/>
          <w:szCs w:val="28"/>
        </w:rPr>
        <w:t>й,</w:t>
      </w:r>
      <w:r w:rsidR="00AF605D">
        <w:rPr>
          <w:rFonts w:ascii="Times New Roman CYR" w:hAnsi="Times New Roman CYR" w:cs="Times New Roman CYR"/>
          <w:sz w:val="28"/>
          <w:szCs w:val="28"/>
        </w:rPr>
        <w:t xml:space="preserve"> зарегистрированными на территории города Боготола, фактичес</w:t>
      </w:r>
      <w:r w:rsidR="00EB2402">
        <w:rPr>
          <w:rFonts w:ascii="Times New Roman CYR" w:hAnsi="Times New Roman CYR" w:cs="Times New Roman CYR"/>
          <w:sz w:val="28"/>
          <w:szCs w:val="28"/>
        </w:rPr>
        <w:t>ки осуществляющие</w:t>
      </w:r>
      <w:r w:rsidR="00AF605D">
        <w:rPr>
          <w:rFonts w:ascii="Times New Roman CYR" w:hAnsi="Times New Roman CYR" w:cs="Times New Roman CYR"/>
          <w:sz w:val="28"/>
          <w:szCs w:val="28"/>
        </w:rPr>
        <w:t xml:space="preserve"> деятельность на территории Боготольского района.  </w:t>
      </w:r>
    </w:p>
    <w:p w:rsidR="00285891" w:rsidRDefault="00285891" w:rsidP="002858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Выращивание овощных культур, картофеля, животноводство (разведение птиц, крупнорогатого скота, свиней) осуществляется исключительно личными подсобными хозяйствами, зарегистрированными на территории города Боготола.</w:t>
      </w:r>
    </w:p>
    <w:p w:rsidR="00CF44A9" w:rsidRDefault="00285891" w:rsidP="00BC02A3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02A3">
        <w:rPr>
          <w:rFonts w:ascii="Times New Roman" w:hAnsi="Times New Roman" w:cs="Times New Roman"/>
          <w:sz w:val="28"/>
          <w:szCs w:val="28"/>
        </w:rPr>
        <w:t xml:space="preserve">При неизменном количестве ЛПХ и земель, занятых под осуществление их деятельности прогнозные значения объема производства </w:t>
      </w:r>
      <w:r w:rsidR="0044180F" w:rsidRPr="00BC02A3">
        <w:rPr>
          <w:rFonts w:ascii="Times New Roman" w:hAnsi="Times New Roman" w:cs="Times New Roman"/>
          <w:sz w:val="28"/>
          <w:szCs w:val="28"/>
        </w:rPr>
        <w:t>можно будет анализировать тольк</w:t>
      </w:r>
      <w:r w:rsidR="00E31115" w:rsidRPr="00BC02A3">
        <w:rPr>
          <w:rFonts w:ascii="Times New Roman" w:hAnsi="Times New Roman" w:cs="Times New Roman"/>
          <w:sz w:val="28"/>
          <w:szCs w:val="28"/>
        </w:rPr>
        <w:t>о по результатам 3 квартала 20</w:t>
      </w:r>
      <w:r w:rsidR="00AF605D">
        <w:rPr>
          <w:rFonts w:ascii="Times New Roman" w:hAnsi="Times New Roman" w:cs="Times New Roman"/>
          <w:sz w:val="28"/>
          <w:szCs w:val="28"/>
        </w:rPr>
        <w:t>2</w:t>
      </w:r>
      <w:r w:rsidR="004A1B76">
        <w:rPr>
          <w:rFonts w:ascii="Times New Roman" w:hAnsi="Times New Roman" w:cs="Times New Roman"/>
          <w:sz w:val="28"/>
          <w:szCs w:val="28"/>
        </w:rPr>
        <w:t>2</w:t>
      </w:r>
      <w:r w:rsidR="0044180F" w:rsidRPr="00BC02A3">
        <w:rPr>
          <w:rFonts w:ascii="Times New Roman" w:hAnsi="Times New Roman" w:cs="Times New Roman"/>
          <w:sz w:val="28"/>
          <w:szCs w:val="28"/>
        </w:rPr>
        <w:t xml:space="preserve"> (после уборки урожая).</w:t>
      </w:r>
    </w:p>
    <w:p w:rsidR="005A42B4" w:rsidRPr="00BC02A3" w:rsidRDefault="00CF44A9" w:rsidP="00BC02A3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02A3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 отрасли «Лесоводство и лесозаготовки</w:t>
      </w:r>
      <w:r w:rsidR="00BC02A3">
        <w:rPr>
          <w:rFonts w:ascii="Times New Roman" w:hAnsi="Times New Roman" w:cs="Times New Roman"/>
          <w:sz w:val="28"/>
          <w:szCs w:val="28"/>
        </w:rPr>
        <w:t xml:space="preserve">» </w:t>
      </w:r>
      <w:r w:rsidRPr="00BC02A3">
        <w:rPr>
          <w:rFonts w:ascii="Times New Roman" w:hAnsi="Times New Roman" w:cs="Times New Roman"/>
          <w:sz w:val="28"/>
          <w:szCs w:val="28"/>
        </w:rPr>
        <w:t xml:space="preserve">на </w:t>
      </w:r>
      <w:r w:rsidR="00B81AF8" w:rsidRPr="00BC02A3">
        <w:rPr>
          <w:rFonts w:ascii="Times New Roman" w:hAnsi="Times New Roman" w:cs="Times New Roman"/>
          <w:sz w:val="28"/>
          <w:szCs w:val="28"/>
        </w:rPr>
        <w:t>01.07.20</w:t>
      </w:r>
      <w:r w:rsidR="00EB2402">
        <w:rPr>
          <w:rFonts w:ascii="Times New Roman" w:hAnsi="Times New Roman" w:cs="Times New Roman"/>
          <w:sz w:val="28"/>
          <w:szCs w:val="28"/>
        </w:rPr>
        <w:t>2</w:t>
      </w:r>
      <w:r w:rsidR="004A1B76">
        <w:rPr>
          <w:rFonts w:ascii="Times New Roman" w:hAnsi="Times New Roman" w:cs="Times New Roman"/>
          <w:sz w:val="28"/>
          <w:szCs w:val="28"/>
        </w:rPr>
        <w:t>2</w:t>
      </w:r>
      <w:r w:rsidRPr="00BC02A3">
        <w:rPr>
          <w:rFonts w:ascii="Times New Roman" w:hAnsi="Times New Roman" w:cs="Times New Roman"/>
          <w:sz w:val="28"/>
          <w:szCs w:val="28"/>
        </w:rPr>
        <w:t xml:space="preserve"> </w:t>
      </w:r>
      <w:r w:rsidR="0029764C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BC02A3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A1B76">
        <w:rPr>
          <w:rFonts w:ascii="Times New Roman" w:hAnsi="Times New Roman" w:cs="Times New Roman"/>
          <w:sz w:val="28"/>
          <w:szCs w:val="28"/>
        </w:rPr>
        <w:t>340,65</w:t>
      </w:r>
      <w:r w:rsidRPr="00BC02A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9764C">
        <w:rPr>
          <w:rFonts w:ascii="Times New Roman" w:hAnsi="Times New Roman" w:cs="Times New Roman"/>
          <w:sz w:val="28"/>
          <w:szCs w:val="28"/>
        </w:rPr>
        <w:t xml:space="preserve">, темп роста к соответствующему периоду прошлого года – </w:t>
      </w:r>
      <w:r w:rsidR="004A1B76">
        <w:rPr>
          <w:rFonts w:ascii="Times New Roman" w:hAnsi="Times New Roman" w:cs="Times New Roman"/>
          <w:sz w:val="28"/>
          <w:szCs w:val="28"/>
        </w:rPr>
        <w:t>72,84</w:t>
      </w:r>
      <w:r w:rsidR="005A42B4" w:rsidRPr="00BC02A3">
        <w:rPr>
          <w:rFonts w:ascii="Times New Roman" w:hAnsi="Times New Roman" w:cs="Times New Roman"/>
          <w:sz w:val="28"/>
          <w:szCs w:val="28"/>
        </w:rPr>
        <w:t>%</w:t>
      </w:r>
      <w:r w:rsidR="0029764C">
        <w:rPr>
          <w:rFonts w:ascii="Times New Roman" w:hAnsi="Times New Roman" w:cs="Times New Roman"/>
          <w:sz w:val="28"/>
          <w:szCs w:val="28"/>
        </w:rPr>
        <w:t>.</w:t>
      </w:r>
      <w:r w:rsidR="00EB2402">
        <w:rPr>
          <w:rFonts w:ascii="Times New Roman" w:hAnsi="Times New Roman" w:cs="Times New Roman"/>
          <w:sz w:val="28"/>
          <w:szCs w:val="28"/>
        </w:rPr>
        <w:t xml:space="preserve"> Данный показатель в оценке 202</w:t>
      </w:r>
      <w:r w:rsidR="004A1B76">
        <w:rPr>
          <w:rFonts w:ascii="Times New Roman" w:hAnsi="Times New Roman" w:cs="Times New Roman"/>
          <w:sz w:val="28"/>
          <w:szCs w:val="28"/>
        </w:rPr>
        <w:t>2</w:t>
      </w:r>
      <w:r w:rsidR="005A42B4" w:rsidRPr="00BC02A3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4A1B76">
        <w:rPr>
          <w:rFonts w:ascii="Times New Roman" w:hAnsi="Times New Roman" w:cs="Times New Roman"/>
          <w:sz w:val="28"/>
          <w:szCs w:val="28"/>
        </w:rPr>
        <w:t>741,3</w:t>
      </w:r>
      <w:r w:rsidR="00F279B5" w:rsidRPr="00BC02A3">
        <w:rPr>
          <w:rFonts w:ascii="Times New Roman" w:hAnsi="Times New Roman" w:cs="Times New Roman"/>
          <w:sz w:val="28"/>
          <w:szCs w:val="28"/>
        </w:rPr>
        <w:t xml:space="preserve"> </w:t>
      </w:r>
      <w:r w:rsidR="005A42B4" w:rsidRPr="00BC02A3">
        <w:rPr>
          <w:rFonts w:ascii="Times New Roman" w:hAnsi="Times New Roman" w:cs="Times New Roman"/>
          <w:sz w:val="28"/>
          <w:szCs w:val="28"/>
        </w:rPr>
        <w:t>тыс. руб., при сложившемся темпе роста, прогноз на 20</w:t>
      </w:r>
      <w:r w:rsidR="00EB2402">
        <w:rPr>
          <w:rFonts w:ascii="Times New Roman" w:hAnsi="Times New Roman" w:cs="Times New Roman"/>
          <w:sz w:val="28"/>
          <w:szCs w:val="28"/>
        </w:rPr>
        <w:t>2</w:t>
      </w:r>
      <w:r w:rsidR="004A1B76">
        <w:rPr>
          <w:rFonts w:ascii="Times New Roman" w:hAnsi="Times New Roman" w:cs="Times New Roman"/>
          <w:sz w:val="28"/>
          <w:szCs w:val="28"/>
        </w:rPr>
        <w:t>2</w:t>
      </w:r>
      <w:r w:rsidR="005A42B4" w:rsidRPr="00BC02A3">
        <w:rPr>
          <w:rFonts w:ascii="Times New Roman" w:hAnsi="Times New Roman" w:cs="Times New Roman"/>
          <w:sz w:val="28"/>
          <w:szCs w:val="28"/>
        </w:rPr>
        <w:t xml:space="preserve"> год может составить </w:t>
      </w:r>
      <w:r w:rsidR="004A1B76">
        <w:rPr>
          <w:rFonts w:ascii="Times New Roman" w:hAnsi="Times New Roman" w:cs="Times New Roman"/>
          <w:sz w:val="28"/>
          <w:szCs w:val="28"/>
        </w:rPr>
        <w:t>463,99</w:t>
      </w:r>
      <w:r w:rsidR="00B81AF8" w:rsidRPr="00BC02A3">
        <w:rPr>
          <w:rFonts w:ascii="Times New Roman" w:hAnsi="Times New Roman" w:cs="Times New Roman"/>
          <w:sz w:val="28"/>
          <w:szCs w:val="28"/>
        </w:rPr>
        <w:t xml:space="preserve"> </w:t>
      </w:r>
      <w:r w:rsidR="005A42B4" w:rsidRPr="00BC02A3">
        <w:rPr>
          <w:rFonts w:ascii="Times New Roman" w:hAnsi="Times New Roman" w:cs="Times New Roman"/>
          <w:sz w:val="28"/>
          <w:szCs w:val="28"/>
        </w:rPr>
        <w:t xml:space="preserve">тыс. руб., что </w:t>
      </w:r>
      <w:r w:rsidR="00FB1C35">
        <w:rPr>
          <w:rFonts w:ascii="Times New Roman" w:hAnsi="Times New Roman" w:cs="Times New Roman"/>
          <w:sz w:val="28"/>
          <w:szCs w:val="28"/>
        </w:rPr>
        <w:t>ниже</w:t>
      </w:r>
      <w:r w:rsidR="005A42B4" w:rsidRPr="00BC02A3">
        <w:rPr>
          <w:rFonts w:ascii="Times New Roman" w:hAnsi="Times New Roman" w:cs="Times New Roman"/>
          <w:sz w:val="28"/>
          <w:szCs w:val="28"/>
        </w:rPr>
        <w:t xml:space="preserve"> ожидаемого на </w:t>
      </w:r>
      <w:r w:rsidR="004A1B76">
        <w:rPr>
          <w:rFonts w:ascii="Times New Roman" w:hAnsi="Times New Roman" w:cs="Times New Roman"/>
          <w:sz w:val="28"/>
          <w:szCs w:val="28"/>
        </w:rPr>
        <w:t>37,4</w:t>
      </w:r>
      <w:r w:rsidR="005A42B4" w:rsidRPr="00BC02A3">
        <w:rPr>
          <w:rFonts w:ascii="Times New Roman" w:hAnsi="Times New Roman" w:cs="Times New Roman"/>
          <w:sz w:val="28"/>
          <w:szCs w:val="28"/>
        </w:rPr>
        <w:t>%.</w:t>
      </w:r>
      <w:proofErr w:type="gramEnd"/>
    </w:p>
    <w:p w:rsidR="00B34E55" w:rsidRDefault="00B34E55" w:rsidP="009E48E0">
      <w:pPr>
        <w:autoSpaceDE w:val="0"/>
        <w:autoSpaceDN w:val="0"/>
        <w:adjustRightInd w:val="0"/>
        <w:spacing w:after="0" w:line="240" w:lineRule="auto"/>
        <w:ind w:left="140" w:firstLine="56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2012B" w:rsidRPr="0044629A" w:rsidRDefault="0052012B" w:rsidP="005C4077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29A"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</w:t>
      </w:r>
    </w:p>
    <w:p w:rsidR="0052012B" w:rsidRPr="0044629A" w:rsidRDefault="0052012B" w:rsidP="0052012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12B" w:rsidRPr="0044629A" w:rsidRDefault="00EB2402" w:rsidP="0052012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01.07.202</w:t>
      </w:r>
      <w:r w:rsidR="004A1B76">
        <w:rPr>
          <w:rFonts w:ascii="Times New Roman" w:hAnsi="Times New Roman" w:cs="Times New Roman"/>
          <w:sz w:val="28"/>
          <w:szCs w:val="28"/>
        </w:rPr>
        <w:t>2</w:t>
      </w:r>
      <w:r w:rsidR="0052012B" w:rsidRPr="0044629A">
        <w:rPr>
          <w:rFonts w:ascii="Times New Roman" w:hAnsi="Times New Roman" w:cs="Times New Roman"/>
          <w:sz w:val="28"/>
          <w:szCs w:val="28"/>
        </w:rPr>
        <w:t xml:space="preserve"> года в го</w:t>
      </w:r>
      <w:r w:rsidR="0044629A" w:rsidRPr="0044629A">
        <w:rPr>
          <w:rFonts w:ascii="Times New Roman" w:hAnsi="Times New Roman" w:cs="Times New Roman"/>
          <w:sz w:val="28"/>
          <w:szCs w:val="28"/>
        </w:rPr>
        <w:t>р</w:t>
      </w:r>
      <w:r w:rsidR="00FB1C35">
        <w:rPr>
          <w:rFonts w:ascii="Times New Roman" w:hAnsi="Times New Roman" w:cs="Times New Roman"/>
          <w:sz w:val="28"/>
          <w:szCs w:val="28"/>
        </w:rPr>
        <w:t>оде Боготоле зарегистрировано 34</w:t>
      </w:r>
      <w:r w:rsidR="004A1B76">
        <w:rPr>
          <w:rFonts w:ascii="Times New Roman" w:hAnsi="Times New Roman" w:cs="Times New Roman"/>
          <w:sz w:val="28"/>
          <w:szCs w:val="28"/>
        </w:rPr>
        <w:t>0</w:t>
      </w:r>
      <w:r w:rsidR="0029764C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52012B" w:rsidRPr="0044629A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(</w:t>
      </w:r>
      <w:r w:rsidR="00FB1C35">
        <w:rPr>
          <w:rFonts w:ascii="Times New Roman" w:hAnsi="Times New Roman" w:cs="Times New Roman"/>
          <w:sz w:val="28"/>
          <w:szCs w:val="28"/>
        </w:rPr>
        <w:t>6</w:t>
      </w:r>
      <w:r w:rsidR="004A1B76">
        <w:rPr>
          <w:rFonts w:ascii="Times New Roman" w:hAnsi="Times New Roman" w:cs="Times New Roman"/>
          <w:sz w:val="28"/>
          <w:szCs w:val="28"/>
        </w:rPr>
        <w:t>5</w:t>
      </w:r>
      <w:r w:rsidR="0052012B" w:rsidRPr="0044629A">
        <w:rPr>
          <w:rFonts w:ascii="Times New Roman" w:hAnsi="Times New Roman" w:cs="Times New Roman"/>
          <w:sz w:val="28"/>
          <w:szCs w:val="28"/>
        </w:rPr>
        <w:t xml:space="preserve"> мал</w:t>
      </w:r>
      <w:r w:rsidR="00665E52" w:rsidRPr="0044629A">
        <w:rPr>
          <w:rFonts w:ascii="Times New Roman" w:hAnsi="Times New Roman" w:cs="Times New Roman"/>
          <w:sz w:val="28"/>
          <w:szCs w:val="28"/>
        </w:rPr>
        <w:t>ы</w:t>
      </w:r>
      <w:r w:rsidR="00FB1C35">
        <w:rPr>
          <w:rFonts w:ascii="Times New Roman" w:hAnsi="Times New Roman" w:cs="Times New Roman"/>
          <w:sz w:val="28"/>
          <w:szCs w:val="28"/>
        </w:rPr>
        <w:t>х</w:t>
      </w:r>
      <w:r w:rsidR="0052012B" w:rsidRPr="0044629A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FB1C35">
        <w:rPr>
          <w:rFonts w:ascii="Times New Roman" w:hAnsi="Times New Roman" w:cs="Times New Roman"/>
          <w:sz w:val="28"/>
          <w:szCs w:val="28"/>
        </w:rPr>
        <w:t>я</w:t>
      </w:r>
      <w:r w:rsidR="0052012B" w:rsidRPr="004462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</w:t>
      </w:r>
      <w:r w:rsidR="004A1B76">
        <w:rPr>
          <w:rFonts w:ascii="Times New Roman" w:hAnsi="Times New Roman" w:cs="Times New Roman"/>
          <w:sz w:val="28"/>
          <w:szCs w:val="28"/>
        </w:rPr>
        <w:t>75</w:t>
      </w:r>
      <w:r w:rsidR="0052012B" w:rsidRPr="0044629A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</w:t>
      </w:r>
      <w:r w:rsidR="00FB1C35">
        <w:rPr>
          <w:rFonts w:ascii="Times New Roman" w:hAnsi="Times New Roman" w:cs="Times New Roman"/>
          <w:sz w:val="28"/>
          <w:szCs w:val="28"/>
        </w:rPr>
        <w:t>ей</w:t>
      </w:r>
      <w:r w:rsidR="0052012B" w:rsidRPr="0044629A">
        <w:rPr>
          <w:rFonts w:ascii="Times New Roman" w:hAnsi="Times New Roman" w:cs="Times New Roman"/>
          <w:sz w:val="28"/>
          <w:szCs w:val="28"/>
        </w:rPr>
        <w:t xml:space="preserve">), что </w:t>
      </w:r>
      <w:r w:rsidR="004A1B76">
        <w:rPr>
          <w:rFonts w:ascii="Times New Roman" w:hAnsi="Times New Roman" w:cs="Times New Roman"/>
          <w:sz w:val="28"/>
          <w:szCs w:val="28"/>
        </w:rPr>
        <w:t>соответствует аналогичному показателю 2021 года.</w:t>
      </w:r>
    </w:p>
    <w:p w:rsidR="0079521F" w:rsidRDefault="00FF1BF9" w:rsidP="007952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 xml:space="preserve">После снятия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антиковидных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ограничений и восстановления потребительской активности в 2021 году произошел рост количества индивидуальных предпринимателей на территории города. Также на стабилизацию числа субъектов малого и среднего предпринимательства повлияли количество видов, оказываемой финансовой и консультационной поддержки (</w:t>
      </w:r>
      <w:r w:rsidR="0079521F">
        <w:rPr>
          <w:rFonts w:ascii="Times New Roman" w:hAnsi="Times New Roman" w:cs="Times New Roman"/>
          <w:sz w:val="28"/>
          <w:szCs w:val="28"/>
        </w:rPr>
        <w:t>единовременн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79521F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79521F">
        <w:rPr>
          <w:rFonts w:ascii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9521F">
        <w:rPr>
          <w:rFonts w:ascii="Times New Roman" w:hAnsi="Times New Roman" w:cs="Times New Roman"/>
          <w:sz w:val="28"/>
          <w:szCs w:val="28"/>
        </w:rPr>
        <w:t xml:space="preserve"> </w:t>
      </w:r>
      <w:r w:rsidR="0079521F" w:rsidRPr="005079D9">
        <w:rPr>
          <w:rFonts w:ascii="Times New Roman" w:hAnsi="Times New Roman" w:cs="Times New Roman"/>
          <w:sz w:val="28"/>
          <w:szCs w:val="28"/>
        </w:rPr>
        <w:t>КГКУ «Центр</w:t>
      </w:r>
      <w:r w:rsidR="0079521F">
        <w:rPr>
          <w:rFonts w:ascii="Times New Roman" w:hAnsi="Times New Roman" w:cs="Times New Roman"/>
          <w:sz w:val="28"/>
          <w:szCs w:val="28"/>
        </w:rPr>
        <w:t>а</w:t>
      </w:r>
      <w:r w:rsidR="0079521F" w:rsidRPr="005079D9">
        <w:rPr>
          <w:rFonts w:ascii="Times New Roman" w:hAnsi="Times New Roman" w:cs="Times New Roman"/>
          <w:sz w:val="28"/>
          <w:szCs w:val="28"/>
        </w:rPr>
        <w:t xml:space="preserve"> занятости населения города Боготола»</w:t>
      </w:r>
      <w:r w:rsidR="0079521F">
        <w:t xml:space="preserve"> </w:t>
      </w:r>
      <w:r w:rsidR="0079521F">
        <w:rPr>
          <w:rFonts w:ascii="Times New Roman" w:hAnsi="Times New Roman" w:cs="Times New Roman"/>
          <w:sz w:val="28"/>
          <w:szCs w:val="28"/>
        </w:rPr>
        <w:t>при государственной регистрации безработного гражданина в качестве индивидуального предпринимателя</w:t>
      </w:r>
      <w:r>
        <w:rPr>
          <w:rFonts w:ascii="Times New Roman" w:hAnsi="Times New Roman" w:cs="Times New Roman"/>
          <w:sz w:val="28"/>
          <w:szCs w:val="28"/>
        </w:rPr>
        <w:t>, заключение социальных контрактов, льготное кредитование, снижение налоговой нагрузки ит.д.)</w:t>
      </w:r>
      <w:r w:rsidR="0079521F">
        <w:rPr>
          <w:rFonts w:ascii="Times New Roman" w:hAnsi="Times New Roman" w:cs="Times New Roman"/>
          <w:sz w:val="28"/>
          <w:szCs w:val="28"/>
        </w:rPr>
        <w:t>.</w:t>
      </w:r>
    </w:p>
    <w:p w:rsidR="0052012B" w:rsidRPr="0044629A" w:rsidRDefault="0052012B" w:rsidP="0052012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9A">
        <w:rPr>
          <w:rFonts w:ascii="Times New Roman CYR" w:hAnsi="Times New Roman CYR" w:cs="Times New Roman CYR"/>
          <w:sz w:val="28"/>
          <w:szCs w:val="28"/>
        </w:rPr>
        <w:t>Среднесписочная численность работников организаций малого б</w:t>
      </w:r>
      <w:r w:rsidR="00DC23FD">
        <w:rPr>
          <w:rFonts w:ascii="Times New Roman CYR" w:hAnsi="Times New Roman CYR" w:cs="Times New Roman CYR"/>
          <w:sz w:val="28"/>
          <w:szCs w:val="28"/>
        </w:rPr>
        <w:t>и</w:t>
      </w:r>
      <w:r w:rsidR="0079521F">
        <w:rPr>
          <w:rFonts w:ascii="Times New Roman CYR" w:hAnsi="Times New Roman CYR" w:cs="Times New Roman CYR"/>
          <w:sz w:val="28"/>
          <w:szCs w:val="28"/>
        </w:rPr>
        <w:t>знеса по состоянию на 01.07.202</w:t>
      </w:r>
      <w:r w:rsidR="00FF1BF9">
        <w:rPr>
          <w:rFonts w:ascii="Times New Roman CYR" w:hAnsi="Times New Roman CYR" w:cs="Times New Roman CYR"/>
          <w:sz w:val="28"/>
          <w:szCs w:val="28"/>
        </w:rPr>
        <w:t>2</w:t>
      </w:r>
      <w:r w:rsidRPr="0044629A">
        <w:rPr>
          <w:rFonts w:ascii="Times New Roman CYR" w:hAnsi="Times New Roman CYR" w:cs="Times New Roman CYR"/>
          <w:sz w:val="28"/>
          <w:szCs w:val="28"/>
        </w:rPr>
        <w:t xml:space="preserve"> года </w:t>
      </w:r>
      <w:r w:rsidR="00FF1BF9">
        <w:rPr>
          <w:rFonts w:ascii="Times New Roman CYR" w:hAnsi="Times New Roman CYR" w:cs="Times New Roman CYR"/>
          <w:sz w:val="28"/>
          <w:szCs w:val="28"/>
        </w:rPr>
        <w:t>увеличилась</w:t>
      </w:r>
      <w:r w:rsidRPr="0044629A">
        <w:rPr>
          <w:rFonts w:ascii="Times New Roman CYR" w:hAnsi="Times New Roman CYR" w:cs="Times New Roman CYR"/>
          <w:sz w:val="28"/>
          <w:szCs w:val="28"/>
        </w:rPr>
        <w:t xml:space="preserve"> на </w:t>
      </w:r>
      <w:r w:rsidR="00FF1BF9">
        <w:rPr>
          <w:rFonts w:ascii="Times New Roman CYR" w:hAnsi="Times New Roman CYR" w:cs="Times New Roman CYR"/>
          <w:sz w:val="28"/>
          <w:szCs w:val="28"/>
        </w:rPr>
        <w:t>18</w:t>
      </w:r>
      <w:r w:rsidR="00DC23FD">
        <w:rPr>
          <w:rFonts w:ascii="Times New Roman CYR" w:hAnsi="Times New Roman CYR" w:cs="Times New Roman CYR"/>
          <w:sz w:val="28"/>
          <w:szCs w:val="28"/>
        </w:rPr>
        <w:t>,3</w:t>
      </w:r>
      <w:r w:rsidRPr="0044629A">
        <w:rPr>
          <w:rFonts w:ascii="Times New Roman CYR" w:hAnsi="Times New Roman CYR" w:cs="Times New Roman CYR"/>
          <w:sz w:val="28"/>
          <w:szCs w:val="28"/>
        </w:rPr>
        <w:t xml:space="preserve">% по сравнению с уровнем </w:t>
      </w:r>
      <w:r w:rsidR="00D50978" w:rsidRPr="0044629A">
        <w:rPr>
          <w:rFonts w:ascii="Times New Roman CYR" w:hAnsi="Times New Roman CYR" w:cs="Times New Roman CYR"/>
          <w:sz w:val="28"/>
          <w:szCs w:val="28"/>
        </w:rPr>
        <w:t xml:space="preserve">1 полугодия </w:t>
      </w:r>
      <w:r w:rsidR="0079521F">
        <w:rPr>
          <w:rFonts w:ascii="Times New Roman CYR" w:hAnsi="Times New Roman CYR" w:cs="Times New Roman CYR"/>
          <w:sz w:val="28"/>
          <w:szCs w:val="28"/>
        </w:rPr>
        <w:t>202</w:t>
      </w:r>
      <w:r w:rsidR="00FF1BF9">
        <w:rPr>
          <w:rFonts w:ascii="Times New Roman CYR" w:hAnsi="Times New Roman CYR" w:cs="Times New Roman CYR"/>
          <w:sz w:val="28"/>
          <w:szCs w:val="28"/>
        </w:rPr>
        <w:t>1</w:t>
      </w:r>
      <w:r w:rsidRPr="0044629A">
        <w:rPr>
          <w:rFonts w:ascii="Times New Roman CYR" w:hAnsi="Times New Roman CYR" w:cs="Times New Roman CYR"/>
          <w:sz w:val="28"/>
          <w:szCs w:val="28"/>
        </w:rPr>
        <w:t xml:space="preserve"> года и составила </w:t>
      </w:r>
      <w:r w:rsidR="00FF1BF9">
        <w:rPr>
          <w:rFonts w:ascii="Times New Roman CYR" w:hAnsi="Times New Roman CYR" w:cs="Times New Roman CYR"/>
          <w:sz w:val="28"/>
          <w:szCs w:val="28"/>
        </w:rPr>
        <w:t>560</w:t>
      </w:r>
      <w:r w:rsidRPr="0044629A">
        <w:rPr>
          <w:rFonts w:ascii="Times New Roman CYR" w:hAnsi="Times New Roman CYR" w:cs="Times New Roman CYR"/>
          <w:sz w:val="28"/>
          <w:szCs w:val="28"/>
        </w:rPr>
        <w:t xml:space="preserve"> чел., оборот организаций малого б</w:t>
      </w:r>
      <w:r w:rsidR="00DC23FD">
        <w:rPr>
          <w:rFonts w:ascii="Times New Roman CYR" w:hAnsi="Times New Roman CYR" w:cs="Times New Roman CYR"/>
          <w:sz w:val="28"/>
          <w:szCs w:val="28"/>
        </w:rPr>
        <w:t>изнеса по итогам 1 полу</w:t>
      </w:r>
      <w:r w:rsidR="0079521F">
        <w:rPr>
          <w:rFonts w:ascii="Times New Roman CYR" w:hAnsi="Times New Roman CYR" w:cs="Times New Roman CYR"/>
          <w:sz w:val="28"/>
          <w:szCs w:val="28"/>
        </w:rPr>
        <w:t>годия 202</w:t>
      </w:r>
      <w:r w:rsidR="00FF1BF9">
        <w:rPr>
          <w:rFonts w:ascii="Times New Roman CYR" w:hAnsi="Times New Roman CYR" w:cs="Times New Roman CYR"/>
          <w:sz w:val="28"/>
          <w:szCs w:val="28"/>
        </w:rPr>
        <w:t>2</w:t>
      </w:r>
      <w:r w:rsidRPr="0044629A">
        <w:rPr>
          <w:rFonts w:ascii="Times New Roman CYR" w:hAnsi="Times New Roman CYR" w:cs="Times New Roman CYR"/>
          <w:sz w:val="28"/>
          <w:szCs w:val="28"/>
        </w:rPr>
        <w:t xml:space="preserve"> года составил </w:t>
      </w:r>
      <w:r w:rsidR="00FF1BF9">
        <w:rPr>
          <w:rFonts w:ascii="Times New Roman CYR" w:hAnsi="Times New Roman CYR" w:cs="Times New Roman CYR"/>
          <w:sz w:val="28"/>
          <w:szCs w:val="28"/>
        </w:rPr>
        <w:t>637 799,12</w:t>
      </w:r>
      <w:r w:rsidRPr="0044629A">
        <w:rPr>
          <w:rFonts w:ascii="Times New Roman CYR" w:hAnsi="Times New Roman CYR" w:cs="Times New Roman CYR"/>
          <w:sz w:val="28"/>
          <w:szCs w:val="28"/>
        </w:rPr>
        <w:t xml:space="preserve"> тыс. руб., объем инвестиций в основной капитал – </w:t>
      </w:r>
      <w:r w:rsidR="00FF1BF9">
        <w:rPr>
          <w:rFonts w:ascii="Times New Roman CYR" w:hAnsi="Times New Roman CYR" w:cs="Times New Roman CYR"/>
          <w:sz w:val="28"/>
          <w:szCs w:val="28"/>
        </w:rPr>
        <w:t>289</w:t>
      </w:r>
      <w:r w:rsidRPr="0044629A">
        <w:rPr>
          <w:rFonts w:ascii="Times New Roman CYR" w:hAnsi="Times New Roman CYR" w:cs="Times New Roman CYR"/>
          <w:sz w:val="28"/>
          <w:szCs w:val="28"/>
        </w:rPr>
        <w:t xml:space="preserve"> тыс. руб.</w:t>
      </w:r>
    </w:p>
    <w:p w:rsidR="00BD247B" w:rsidRPr="00BD247B" w:rsidRDefault="00FF1BF9" w:rsidP="00BD24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Кроме того, в 2021 году предприятие ООО «Боготольский вагоноремонтный завод» из статуса «Среднее предприятие» перешло в разряд «Малого предприятия» по причине сокращения численности работников. По итогам 2020 года среднесписочная численность работников ООО «Боготольский вагоноремонтный завод» составляла 133 человека, в 2021 году – 95 человек. </w:t>
      </w:r>
      <w:r w:rsidR="00BD247B">
        <w:rPr>
          <w:rFonts w:ascii="Times New Roman CYR" w:hAnsi="Times New Roman CYR" w:cs="Times New Roman CYR"/>
          <w:sz w:val="28"/>
          <w:szCs w:val="28"/>
        </w:rPr>
        <w:t>В 2022 год</w:t>
      </w:r>
      <w:proofErr w:type="gramStart"/>
      <w:r w:rsidR="00BD247B">
        <w:rPr>
          <w:rFonts w:ascii="Times New Roman CYR" w:hAnsi="Times New Roman CYR" w:cs="Times New Roman CYR"/>
          <w:sz w:val="28"/>
          <w:szCs w:val="28"/>
        </w:rPr>
        <w:t>у ООО</w:t>
      </w:r>
      <w:proofErr w:type="gramEnd"/>
      <w:r w:rsidR="00BD247B">
        <w:rPr>
          <w:rFonts w:ascii="Times New Roman CYR" w:hAnsi="Times New Roman CYR" w:cs="Times New Roman CYR"/>
          <w:sz w:val="28"/>
          <w:szCs w:val="28"/>
        </w:rPr>
        <w:t xml:space="preserve"> «Ремонт вагонов и комплектующих» (РВК, входит в группу «</w:t>
      </w:r>
      <w:proofErr w:type="spellStart"/>
      <w:r w:rsidR="00BD247B">
        <w:rPr>
          <w:rFonts w:ascii="Times New Roman CYR" w:hAnsi="Times New Roman CYR" w:cs="Times New Roman CYR"/>
          <w:sz w:val="28"/>
          <w:szCs w:val="28"/>
        </w:rPr>
        <w:t>Рейл</w:t>
      </w:r>
      <w:proofErr w:type="spellEnd"/>
      <w:r w:rsidR="00BD247B">
        <w:rPr>
          <w:rFonts w:ascii="Times New Roman CYR" w:hAnsi="Times New Roman CYR" w:cs="Times New Roman CYR"/>
          <w:sz w:val="28"/>
          <w:szCs w:val="28"/>
        </w:rPr>
        <w:t xml:space="preserve"> Сервис») выкупило производственный комплекс Боготольского вагоноремонтного завода (БРВЗ). </w:t>
      </w:r>
    </w:p>
    <w:p w:rsidR="00665E52" w:rsidRDefault="00BD247B" w:rsidP="00BD247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Предприятие</w:t>
      </w:r>
      <w:r w:rsidRPr="00BD24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ООО "РВК" возобновило свою работу в августе 2022 года. Основными видами деятельности завода являются услуги по плановым и внеплановым ремонтным работам, ремонту комплектующих для грузового подвижного состава, в том числе капитальному ремонту колесных пар и кассетных подшипников, подготовке вагонов-цистерн под погрузку или ремонт.</w:t>
      </w:r>
    </w:p>
    <w:p w:rsidR="005C4077" w:rsidRPr="00713404" w:rsidRDefault="005C4077" w:rsidP="005C4077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3404">
        <w:rPr>
          <w:rFonts w:ascii="Times New Roman" w:hAnsi="Times New Roman" w:cs="Times New Roman"/>
          <w:b/>
          <w:bCs/>
          <w:sz w:val="28"/>
          <w:szCs w:val="28"/>
        </w:rPr>
        <w:t>Инвестиции</w:t>
      </w:r>
    </w:p>
    <w:p w:rsidR="005C4077" w:rsidRPr="0052012B" w:rsidRDefault="005C4077" w:rsidP="005C4077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4077" w:rsidRPr="0025728B" w:rsidRDefault="00DC23FD" w:rsidP="005C407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первом полугодии 202</w:t>
      </w:r>
      <w:r w:rsidR="00BD247B">
        <w:rPr>
          <w:rFonts w:ascii="Times New Roman" w:hAnsi="Times New Roman" w:cs="Times New Roman"/>
          <w:sz w:val="28"/>
          <w:szCs w:val="28"/>
        </w:rPr>
        <w:t>2</w:t>
      </w:r>
      <w:r w:rsidR="005C4077" w:rsidRPr="0025728B">
        <w:rPr>
          <w:rFonts w:ascii="Times New Roman" w:hAnsi="Times New Roman" w:cs="Times New Roman"/>
          <w:sz w:val="28"/>
          <w:szCs w:val="28"/>
        </w:rPr>
        <w:t xml:space="preserve"> года полным кругом организаций города использовано </w:t>
      </w:r>
      <w:r w:rsidR="00205FD3">
        <w:rPr>
          <w:rFonts w:ascii="Times New Roman" w:hAnsi="Times New Roman" w:cs="Times New Roman"/>
          <w:sz w:val="28"/>
          <w:szCs w:val="28"/>
        </w:rPr>
        <w:t>–</w:t>
      </w:r>
      <w:r w:rsidR="005C4077" w:rsidRPr="0025728B">
        <w:rPr>
          <w:rFonts w:ascii="Times New Roman" w:hAnsi="Times New Roman" w:cs="Times New Roman"/>
          <w:sz w:val="28"/>
          <w:szCs w:val="28"/>
        </w:rPr>
        <w:t xml:space="preserve"> </w:t>
      </w:r>
      <w:r w:rsidR="00BD247B">
        <w:rPr>
          <w:rFonts w:ascii="Times New Roman" w:hAnsi="Times New Roman" w:cs="Times New Roman"/>
          <w:sz w:val="28"/>
          <w:szCs w:val="28"/>
        </w:rPr>
        <w:t>181 946,83</w:t>
      </w:r>
      <w:r w:rsidR="005C4077" w:rsidRPr="0025728B">
        <w:rPr>
          <w:rFonts w:ascii="Times New Roman" w:hAnsi="Times New Roman" w:cs="Times New Roman"/>
          <w:sz w:val="28"/>
          <w:szCs w:val="28"/>
        </w:rPr>
        <w:t xml:space="preserve"> тыс. рублей инвестиций в основной капитал. В сопоставимой оценке э</w:t>
      </w:r>
      <w:r w:rsidR="005C4077">
        <w:rPr>
          <w:rFonts w:ascii="Times New Roman" w:hAnsi="Times New Roman" w:cs="Times New Roman"/>
          <w:sz w:val="28"/>
          <w:szCs w:val="28"/>
        </w:rPr>
        <w:t xml:space="preserve">то составило </w:t>
      </w:r>
      <w:r w:rsidR="00BD247B">
        <w:rPr>
          <w:rFonts w:ascii="Times New Roman" w:hAnsi="Times New Roman" w:cs="Times New Roman"/>
          <w:sz w:val="28"/>
          <w:szCs w:val="28"/>
        </w:rPr>
        <w:t>на 15</w:t>
      </w:r>
      <w:r w:rsidR="00130E92">
        <w:rPr>
          <w:rFonts w:ascii="Times New Roman" w:hAnsi="Times New Roman" w:cs="Times New Roman"/>
          <w:sz w:val="28"/>
          <w:szCs w:val="28"/>
        </w:rPr>
        <w:t>%</w:t>
      </w:r>
      <w:r w:rsidR="00603186">
        <w:rPr>
          <w:rFonts w:ascii="Times New Roman" w:hAnsi="Times New Roman" w:cs="Times New Roman"/>
          <w:sz w:val="28"/>
          <w:szCs w:val="28"/>
        </w:rPr>
        <w:t xml:space="preserve"> больше</w:t>
      </w:r>
      <w:r w:rsidR="005C4077">
        <w:rPr>
          <w:rFonts w:ascii="Times New Roman" w:hAnsi="Times New Roman" w:cs="Times New Roman"/>
          <w:sz w:val="28"/>
          <w:szCs w:val="28"/>
        </w:rPr>
        <w:t xml:space="preserve"> </w:t>
      </w:r>
      <w:r w:rsidR="00603186">
        <w:rPr>
          <w:rFonts w:ascii="Times New Roman" w:hAnsi="Times New Roman" w:cs="Times New Roman"/>
          <w:sz w:val="28"/>
          <w:szCs w:val="28"/>
        </w:rPr>
        <w:t xml:space="preserve">аналогичного периода </w:t>
      </w:r>
      <w:r w:rsidR="00130E92">
        <w:rPr>
          <w:rFonts w:ascii="Times New Roman" w:hAnsi="Times New Roman" w:cs="Times New Roman"/>
          <w:sz w:val="28"/>
          <w:szCs w:val="28"/>
        </w:rPr>
        <w:t>202</w:t>
      </w:r>
      <w:r w:rsidR="00BD247B">
        <w:rPr>
          <w:rFonts w:ascii="Times New Roman" w:hAnsi="Times New Roman" w:cs="Times New Roman"/>
          <w:sz w:val="28"/>
          <w:szCs w:val="28"/>
        </w:rPr>
        <w:t>1</w:t>
      </w:r>
      <w:r w:rsidR="00603186">
        <w:rPr>
          <w:rFonts w:ascii="Times New Roman" w:hAnsi="Times New Roman" w:cs="Times New Roman"/>
          <w:sz w:val="28"/>
          <w:szCs w:val="28"/>
        </w:rPr>
        <w:t xml:space="preserve"> года. За 202</w:t>
      </w:r>
      <w:r w:rsidR="00BD247B">
        <w:rPr>
          <w:rFonts w:ascii="Times New Roman" w:hAnsi="Times New Roman" w:cs="Times New Roman"/>
          <w:sz w:val="28"/>
          <w:szCs w:val="28"/>
        </w:rPr>
        <w:t>2</w:t>
      </w:r>
      <w:r w:rsidR="005C4077" w:rsidRPr="0025728B">
        <w:rPr>
          <w:rFonts w:ascii="Times New Roman" w:hAnsi="Times New Roman" w:cs="Times New Roman"/>
          <w:sz w:val="28"/>
          <w:szCs w:val="28"/>
        </w:rPr>
        <w:t xml:space="preserve"> год объем инвестиций в основной капитал планируется в </w:t>
      </w:r>
      <w:r w:rsidR="00130E92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5C4077" w:rsidRPr="0025728B">
        <w:rPr>
          <w:rFonts w:ascii="Times New Roman" w:hAnsi="Times New Roman" w:cs="Times New Roman"/>
          <w:sz w:val="28"/>
          <w:szCs w:val="28"/>
        </w:rPr>
        <w:t xml:space="preserve"> – </w:t>
      </w:r>
      <w:r w:rsidR="00BD247B">
        <w:rPr>
          <w:rFonts w:ascii="Times New Roman" w:hAnsi="Times New Roman" w:cs="Times New Roman"/>
          <w:sz w:val="28"/>
          <w:szCs w:val="28"/>
        </w:rPr>
        <w:t>533 311,65</w:t>
      </w:r>
      <w:r w:rsidR="005C4077" w:rsidRPr="0025728B">
        <w:rPr>
          <w:rFonts w:ascii="Times New Roman" w:hAnsi="Times New Roman" w:cs="Times New Roman"/>
          <w:sz w:val="28"/>
          <w:szCs w:val="28"/>
        </w:rPr>
        <w:t xml:space="preserve"> тыс.</w:t>
      </w:r>
      <w:r w:rsidR="005C4077">
        <w:rPr>
          <w:rFonts w:ascii="Times New Roman" w:hAnsi="Times New Roman" w:cs="Times New Roman"/>
          <w:sz w:val="28"/>
          <w:szCs w:val="28"/>
        </w:rPr>
        <w:t xml:space="preserve"> </w:t>
      </w:r>
      <w:r w:rsidR="005C4077" w:rsidRPr="0025728B">
        <w:rPr>
          <w:rFonts w:ascii="Times New Roman" w:hAnsi="Times New Roman" w:cs="Times New Roman"/>
          <w:sz w:val="28"/>
          <w:szCs w:val="28"/>
        </w:rPr>
        <w:t>рублей.</w:t>
      </w:r>
    </w:p>
    <w:p w:rsidR="005C4077" w:rsidRDefault="005C4077" w:rsidP="005C407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28B">
        <w:rPr>
          <w:rFonts w:ascii="Times New Roman" w:hAnsi="Times New Roman" w:cs="Times New Roman"/>
          <w:sz w:val="28"/>
          <w:szCs w:val="28"/>
        </w:rPr>
        <w:t>Видовая структура инвестиций в основной капи</w:t>
      </w:r>
      <w:r>
        <w:rPr>
          <w:rFonts w:ascii="Times New Roman" w:hAnsi="Times New Roman" w:cs="Times New Roman"/>
          <w:sz w:val="28"/>
          <w:szCs w:val="28"/>
        </w:rPr>
        <w:t xml:space="preserve">тал в первом полугодии текущего </w:t>
      </w:r>
      <w:r w:rsidRPr="0025728B">
        <w:rPr>
          <w:rFonts w:ascii="Times New Roman" w:hAnsi="Times New Roman" w:cs="Times New Roman"/>
          <w:sz w:val="28"/>
          <w:szCs w:val="28"/>
        </w:rPr>
        <w:t xml:space="preserve">года сложилась следующим образом: </w:t>
      </w:r>
      <w:r w:rsidR="00130E92">
        <w:rPr>
          <w:rFonts w:ascii="Times New Roman" w:hAnsi="Times New Roman" w:cs="Times New Roman"/>
          <w:sz w:val="28"/>
          <w:szCs w:val="28"/>
        </w:rPr>
        <w:t>деятельность в области культуры, спорта, организации досуга и развлечений</w:t>
      </w:r>
      <w:r w:rsidR="00130E92" w:rsidRPr="0025728B">
        <w:rPr>
          <w:rFonts w:ascii="Times New Roman" w:hAnsi="Times New Roman" w:cs="Times New Roman"/>
          <w:sz w:val="28"/>
          <w:szCs w:val="28"/>
        </w:rPr>
        <w:t xml:space="preserve"> – </w:t>
      </w:r>
      <w:r w:rsidR="00BD247B">
        <w:rPr>
          <w:rFonts w:ascii="Times New Roman" w:hAnsi="Times New Roman" w:cs="Times New Roman"/>
          <w:sz w:val="28"/>
          <w:szCs w:val="28"/>
        </w:rPr>
        <w:t>52,2</w:t>
      </w:r>
      <w:r w:rsidR="00130E92" w:rsidRPr="0025728B">
        <w:rPr>
          <w:rFonts w:ascii="Times New Roman" w:hAnsi="Times New Roman" w:cs="Times New Roman"/>
          <w:sz w:val="28"/>
          <w:szCs w:val="28"/>
        </w:rPr>
        <w:t>%;</w:t>
      </w:r>
      <w:r w:rsidR="00130E92">
        <w:rPr>
          <w:rFonts w:ascii="Times New Roman" w:hAnsi="Times New Roman" w:cs="Times New Roman"/>
          <w:sz w:val="28"/>
          <w:szCs w:val="28"/>
        </w:rPr>
        <w:t xml:space="preserve"> </w:t>
      </w:r>
      <w:r w:rsidR="00BD247B">
        <w:rPr>
          <w:rFonts w:ascii="Times New Roman" w:hAnsi="Times New Roman" w:cs="Times New Roman"/>
          <w:sz w:val="28"/>
          <w:szCs w:val="28"/>
        </w:rPr>
        <w:t>в</w:t>
      </w:r>
      <w:r w:rsidR="00BD247B" w:rsidRPr="00BD247B">
        <w:rPr>
          <w:rFonts w:ascii="Times New Roman" w:hAnsi="Times New Roman" w:cs="Times New Roman"/>
          <w:sz w:val="28"/>
          <w:szCs w:val="28"/>
        </w:rPr>
        <w:t>одоснабжени</w:t>
      </w:r>
      <w:r w:rsidR="00BD247B">
        <w:rPr>
          <w:rFonts w:ascii="Times New Roman" w:hAnsi="Times New Roman" w:cs="Times New Roman"/>
          <w:sz w:val="28"/>
          <w:szCs w:val="28"/>
        </w:rPr>
        <w:t>я,</w:t>
      </w:r>
      <w:r w:rsidR="00BD247B" w:rsidRPr="00BD247B">
        <w:rPr>
          <w:rFonts w:ascii="Times New Roman" w:hAnsi="Times New Roman" w:cs="Times New Roman"/>
          <w:sz w:val="28"/>
          <w:szCs w:val="28"/>
        </w:rPr>
        <w:t xml:space="preserve"> водоотведени</w:t>
      </w:r>
      <w:r w:rsidR="00BD247B">
        <w:rPr>
          <w:rFonts w:ascii="Times New Roman" w:hAnsi="Times New Roman" w:cs="Times New Roman"/>
          <w:sz w:val="28"/>
          <w:szCs w:val="28"/>
        </w:rPr>
        <w:t>я</w:t>
      </w:r>
      <w:r w:rsidR="00BD247B" w:rsidRPr="00BD247B">
        <w:rPr>
          <w:rFonts w:ascii="Times New Roman" w:hAnsi="Times New Roman" w:cs="Times New Roman"/>
          <w:sz w:val="28"/>
          <w:szCs w:val="28"/>
        </w:rPr>
        <w:t>, организаци</w:t>
      </w:r>
      <w:r w:rsidR="00BD247B">
        <w:rPr>
          <w:rFonts w:ascii="Times New Roman" w:hAnsi="Times New Roman" w:cs="Times New Roman"/>
          <w:sz w:val="28"/>
          <w:szCs w:val="28"/>
        </w:rPr>
        <w:t>и</w:t>
      </w:r>
      <w:r w:rsidR="00BD247B" w:rsidRPr="00BD247B">
        <w:rPr>
          <w:rFonts w:ascii="Times New Roman" w:hAnsi="Times New Roman" w:cs="Times New Roman"/>
          <w:sz w:val="28"/>
          <w:szCs w:val="28"/>
        </w:rPr>
        <w:t xml:space="preserve"> сбора и утилизаци</w:t>
      </w:r>
      <w:r w:rsidR="00BD247B">
        <w:rPr>
          <w:rFonts w:ascii="Times New Roman" w:hAnsi="Times New Roman" w:cs="Times New Roman"/>
          <w:sz w:val="28"/>
          <w:szCs w:val="28"/>
        </w:rPr>
        <w:t>и</w:t>
      </w:r>
      <w:r w:rsidR="00BD247B" w:rsidRPr="00BD247B">
        <w:rPr>
          <w:rFonts w:ascii="Times New Roman" w:hAnsi="Times New Roman" w:cs="Times New Roman"/>
          <w:sz w:val="28"/>
          <w:szCs w:val="28"/>
        </w:rPr>
        <w:t xml:space="preserve"> отходов, деятельность по ликвидации загрязнений</w:t>
      </w:r>
      <w:r w:rsidR="00BD247B">
        <w:rPr>
          <w:rFonts w:ascii="Times New Roman" w:hAnsi="Times New Roman" w:cs="Times New Roman"/>
          <w:sz w:val="28"/>
          <w:szCs w:val="28"/>
        </w:rPr>
        <w:t xml:space="preserve"> – 16,2%; </w:t>
      </w:r>
      <w:r w:rsidR="001276AB">
        <w:rPr>
          <w:rFonts w:ascii="Times New Roman" w:hAnsi="Times New Roman" w:cs="Times New Roman"/>
          <w:sz w:val="28"/>
          <w:szCs w:val="28"/>
        </w:rPr>
        <w:t xml:space="preserve">образование – </w:t>
      </w:r>
      <w:r w:rsidR="00BD247B">
        <w:rPr>
          <w:rFonts w:ascii="Times New Roman" w:hAnsi="Times New Roman" w:cs="Times New Roman"/>
          <w:sz w:val="28"/>
          <w:szCs w:val="28"/>
        </w:rPr>
        <w:t>11</w:t>
      </w:r>
      <w:r w:rsidR="00130E92">
        <w:rPr>
          <w:rFonts w:ascii="Times New Roman" w:hAnsi="Times New Roman" w:cs="Times New Roman"/>
          <w:sz w:val="28"/>
          <w:szCs w:val="28"/>
        </w:rPr>
        <w:t>,</w:t>
      </w:r>
      <w:r w:rsidR="00BD247B">
        <w:rPr>
          <w:rFonts w:ascii="Times New Roman" w:hAnsi="Times New Roman" w:cs="Times New Roman"/>
          <w:sz w:val="28"/>
          <w:szCs w:val="28"/>
        </w:rPr>
        <w:t>3</w:t>
      </w:r>
      <w:r w:rsidR="001276AB">
        <w:rPr>
          <w:rFonts w:ascii="Times New Roman" w:hAnsi="Times New Roman" w:cs="Times New Roman"/>
          <w:sz w:val="28"/>
          <w:szCs w:val="28"/>
        </w:rPr>
        <w:t>%;</w:t>
      </w:r>
      <w:r w:rsidR="00130E92">
        <w:rPr>
          <w:rFonts w:ascii="Times New Roman" w:hAnsi="Times New Roman" w:cs="Times New Roman"/>
          <w:sz w:val="28"/>
          <w:szCs w:val="28"/>
        </w:rPr>
        <w:t xml:space="preserve"> </w:t>
      </w:r>
      <w:r w:rsidR="001276AB" w:rsidRPr="0025728B">
        <w:rPr>
          <w:rFonts w:ascii="Times New Roman" w:hAnsi="Times New Roman" w:cs="Times New Roman"/>
          <w:sz w:val="28"/>
          <w:szCs w:val="28"/>
        </w:rPr>
        <w:t xml:space="preserve"> </w:t>
      </w:r>
      <w:r w:rsidRPr="0025728B">
        <w:rPr>
          <w:rFonts w:ascii="Times New Roman" w:hAnsi="Times New Roman" w:cs="Times New Roman"/>
          <w:sz w:val="28"/>
          <w:szCs w:val="28"/>
        </w:rPr>
        <w:t xml:space="preserve">удельный вес прочих инвестиций составил – </w:t>
      </w:r>
      <w:r w:rsidR="00BD247B">
        <w:rPr>
          <w:rFonts w:ascii="Times New Roman" w:hAnsi="Times New Roman" w:cs="Times New Roman"/>
          <w:sz w:val="28"/>
          <w:szCs w:val="28"/>
        </w:rPr>
        <w:t>20,3</w:t>
      </w:r>
      <w:r w:rsidRPr="0025728B">
        <w:rPr>
          <w:rFonts w:ascii="Times New Roman" w:hAnsi="Times New Roman" w:cs="Times New Roman"/>
          <w:sz w:val="28"/>
          <w:szCs w:val="28"/>
        </w:rPr>
        <w:t>%.</w:t>
      </w:r>
    </w:p>
    <w:p w:rsidR="005C4077" w:rsidRDefault="005C4077" w:rsidP="005C4077">
      <w:pPr>
        <w:pStyle w:val="a4"/>
        <w:autoSpaceDE w:val="0"/>
        <w:autoSpaceDN w:val="0"/>
        <w:adjustRightInd w:val="0"/>
        <w:ind w:left="927"/>
        <w:rPr>
          <w:rFonts w:ascii="Times New Roman CYR" w:hAnsi="Times New Roman CYR" w:cs="Times New Roman CYR"/>
          <w:b/>
          <w:sz w:val="28"/>
          <w:szCs w:val="28"/>
        </w:rPr>
      </w:pPr>
    </w:p>
    <w:p w:rsidR="00394C63" w:rsidRDefault="00394C63" w:rsidP="005C4077">
      <w:pPr>
        <w:pStyle w:val="a4"/>
        <w:autoSpaceDE w:val="0"/>
        <w:autoSpaceDN w:val="0"/>
        <w:adjustRightInd w:val="0"/>
        <w:ind w:left="927"/>
        <w:rPr>
          <w:rFonts w:ascii="Times New Roman CYR" w:hAnsi="Times New Roman CYR" w:cs="Times New Roman CYR"/>
          <w:b/>
          <w:sz w:val="28"/>
          <w:szCs w:val="28"/>
        </w:rPr>
      </w:pPr>
    </w:p>
    <w:p w:rsidR="009E48E0" w:rsidRPr="00713404" w:rsidRDefault="001124D6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713404">
        <w:rPr>
          <w:rFonts w:ascii="Times New Roman CYR" w:hAnsi="Times New Roman CYR" w:cs="Times New Roman CYR"/>
          <w:b/>
          <w:sz w:val="28"/>
          <w:szCs w:val="28"/>
        </w:rPr>
        <w:lastRenderedPageBreak/>
        <w:t>Строительство</w:t>
      </w:r>
    </w:p>
    <w:p w:rsidR="001124D6" w:rsidRPr="00713404" w:rsidRDefault="001124D6" w:rsidP="001124D6">
      <w:pPr>
        <w:autoSpaceDE w:val="0"/>
        <w:autoSpaceDN w:val="0"/>
        <w:adjustRightInd w:val="0"/>
        <w:spacing w:after="0" w:line="240" w:lineRule="auto"/>
        <w:ind w:left="140" w:firstLine="56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506E00" w:rsidRPr="00713404" w:rsidRDefault="001124D6" w:rsidP="00506E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Общая площадь </w:t>
      </w:r>
      <w:proofErr w:type="gramStart"/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>жилых домов, введенных в эксплуатацию за счет всех источников финансирования</w:t>
      </w:r>
      <w:r w:rsidR="00130E92">
        <w:rPr>
          <w:rFonts w:ascii="Times New Roman CYR" w:hAnsi="Times New Roman CYR" w:cs="Times New Roman CYR"/>
          <w:sz w:val="28"/>
          <w:szCs w:val="28"/>
          <w:u w:color="FF0000"/>
        </w:rPr>
        <w:t xml:space="preserve"> в 202</w:t>
      </w:r>
      <w:r w:rsidR="005F4B6F">
        <w:rPr>
          <w:rFonts w:ascii="Times New Roman CYR" w:hAnsi="Times New Roman CYR" w:cs="Times New Roman CYR"/>
          <w:sz w:val="28"/>
          <w:szCs w:val="28"/>
          <w:u w:color="FF0000"/>
        </w:rPr>
        <w:t>1</w:t>
      </w:r>
      <w:r w:rsidR="006E7F6B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году</w:t>
      </w: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составила</w:t>
      </w:r>
      <w:proofErr w:type="gramEnd"/>
      <w:r w:rsidR="006E7F6B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5F4B6F">
        <w:rPr>
          <w:rFonts w:ascii="Times New Roman CYR" w:hAnsi="Times New Roman CYR" w:cs="Times New Roman CYR"/>
          <w:sz w:val="28"/>
          <w:szCs w:val="28"/>
          <w:u w:color="FF0000"/>
        </w:rPr>
        <w:t>7 636</w:t>
      </w:r>
      <w:r w:rsidR="006E7F6B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кв.м.</w:t>
      </w: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, </w:t>
      </w:r>
      <w:r w:rsidR="006E7F6B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в </w:t>
      </w:r>
      <w:r w:rsidR="007D359B">
        <w:rPr>
          <w:rFonts w:ascii="Times New Roman" w:hAnsi="Times New Roman" w:cs="Times New Roman"/>
          <w:sz w:val="28"/>
          <w:szCs w:val="28"/>
        </w:rPr>
        <w:t>1-</w:t>
      </w:r>
      <w:r w:rsidR="00576836">
        <w:rPr>
          <w:rFonts w:ascii="Times New Roman" w:hAnsi="Times New Roman" w:cs="Times New Roman"/>
          <w:sz w:val="28"/>
          <w:szCs w:val="28"/>
        </w:rPr>
        <w:t>м полугодии 202</w:t>
      </w:r>
      <w:r w:rsidR="005F4B6F">
        <w:rPr>
          <w:rFonts w:ascii="Times New Roman" w:hAnsi="Times New Roman" w:cs="Times New Roman"/>
          <w:sz w:val="28"/>
          <w:szCs w:val="28"/>
        </w:rPr>
        <w:t>2</w:t>
      </w:r>
      <w:r w:rsidR="006E7F6B" w:rsidRPr="00713404">
        <w:rPr>
          <w:rFonts w:ascii="Times New Roman" w:hAnsi="Times New Roman" w:cs="Times New Roman"/>
          <w:sz w:val="28"/>
          <w:szCs w:val="28"/>
        </w:rPr>
        <w:t xml:space="preserve"> года</w:t>
      </w:r>
      <w:r w:rsidR="006E7F6B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576836">
        <w:rPr>
          <w:rFonts w:ascii="Times New Roman CYR" w:hAnsi="Times New Roman CYR" w:cs="Times New Roman CYR"/>
          <w:sz w:val="28"/>
          <w:szCs w:val="28"/>
          <w:u w:color="FF0000"/>
        </w:rPr>
        <w:t>–</w:t>
      </w:r>
      <w:r w:rsidR="006E7F6B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5F4B6F">
        <w:rPr>
          <w:rFonts w:ascii="Times New Roman CYR" w:hAnsi="Times New Roman CYR" w:cs="Times New Roman CYR"/>
          <w:sz w:val="28"/>
          <w:szCs w:val="28"/>
          <w:u w:color="FF0000"/>
        </w:rPr>
        <w:t>1 936,3</w:t>
      </w:r>
      <w:r w:rsidR="006E7F6B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кв.м.,</w:t>
      </w:r>
      <w:r w:rsidR="00104B76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что </w:t>
      </w:r>
      <w:r w:rsidR="005F4B6F">
        <w:rPr>
          <w:rFonts w:ascii="Times New Roman CYR" w:hAnsi="Times New Roman CYR" w:cs="Times New Roman CYR"/>
          <w:sz w:val="28"/>
          <w:szCs w:val="28"/>
          <w:u w:color="FF0000"/>
        </w:rPr>
        <w:t>выше</w:t>
      </w:r>
      <w:r w:rsidR="00576836">
        <w:rPr>
          <w:rFonts w:ascii="Times New Roman CYR" w:hAnsi="Times New Roman CYR" w:cs="Times New Roman CYR"/>
          <w:sz w:val="28"/>
          <w:szCs w:val="28"/>
          <w:u w:color="FF0000"/>
        </w:rPr>
        <w:t xml:space="preserve"> в </w:t>
      </w:r>
      <w:r w:rsidR="00130E92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5F4B6F">
        <w:rPr>
          <w:rFonts w:ascii="Times New Roman CYR" w:hAnsi="Times New Roman CYR" w:cs="Times New Roman CYR"/>
          <w:sz w:val="28"/>
          <w:szCs w:val="28"/>
          <w:u w:color="FF0000"/>
        </w:rPr>
        <w:t>,8</w:t>
      </w:r>
      <w:r w:rsidR="00576836">
        <w:rPr>
          <w:rFonts w:ascii="Times New Roman CYR" w:hAnsi="Times New Roman CYR" w:cs="Times New Roman CYR"/>
          <w:sz w:val="28"/>
          <w:szCs w:val="28"/>
          <w:u w:color="FF0000"/>
        </w:rPr>
        <w:t xml:space="preserve"> раза</w:t>
      </w:r>
      <w:r w:rsidR="00104B76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от </w:t>
      </w:r>
      <w:r w:rsidR="00C93C28" w:rsidRPr="00713404">
        <w:rPr>
          <w:rFonts w:ascii="Times New Roman CYR" w:hAnsi="Times New Roman CYR" w:cs="Times New Roman CYR"/>
          <w:sz w:val="28"/>
          <w:szCs w:val="28"/>
          <w:u w:color="FF0000"/>
        </w:rPr>
        <w:t>величины</w:t>
      </w:r>
      <w:r w:rsidR="006E7F6B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C93C28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показателя </w:t>
      </w:r>
      <w:r w:rsidR="00B61BB1" w:rsidRPr="00713404">
        <w:rPr>
          <w:rFonts w:ascii="Times New Roman CYR" w:hAnsi="Times New Roman CYR" w:cs="Times New Roman CYR"/>
          <w:sz w:val="28"/>
          <w:szCs w:val="28"/>
          <w:u w:color="FF0000"/>
        </w:rPr>
        <w:t>в аналогично</w:t>
      </w:r>
      <w:r w:rsidR="00130E92">
        <w:rPr>
          <w:rFonts w:ascii="Times New Roman CYR" w:hAnsi="Times New Roman CYR" w:cs="Times New Roman CYR"/>
          <w:sz w:val="28"/>
          <w:szCs w:val="28"/>
          <w:u w:color="FF0000"/>
        </w:rPr>
        <w:t>м периоде 202</w:t>
      </w:r>
      <w:r w:rsidR="005F4B6F">
        <w:rPr>
          <w:rFonts w:ascii="Times New Roman CYR" w:hAnsi="Times New Roman CYR" w:cs="Times New Roman CYR"/>
          <w:sz w:val="28"/>
          <w:szCs w:val="28"/>
          <w:u w:color="FF0000"/>
        </w:rPr>
        <w:t>1</w:t>
      </w:r>
      <w:r w:rsidR="009954E6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</w:t>
      </w:r>
      <w:r w:rsidR="000B6BA2">
        <w:rPr>
          <w:rFonts w:ascii="Times New Roman CYR" w:hAnsi="Times New Roman CYR" w:cs="Times New Roman CYR"/>
          <w:sz w:val="28"/>
          <w:szCs w:val="28"/>
          <w:u w:color="FF0000"/>
        </w:rPr>
        <w:t xml:space="preserve"> за счет индивидуального строительства</w:t>
      </w:r>
      <w:r w:rsidR="005F4B6F"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0B6BA2" w:rsidRDefault="000B6BA2" w:rsidP="000B6BA2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прогнозируемом периоде за счет реализации региональной адресной программы «Переселение граждан из аварийного жилищного фонда в Красноярском крае на 2019-2025 годы» планируется:</w:t>
      </w:r>
    </w:p>
    <w:p w:rsidR="000B6BA2" w:rsidRDefault="000B6BA2" w:rsidP="000B6BA2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в 2022 году – ввести в эксплуатацию один многоквартирный пятиэтажный жилой дом (на 30 квартир), общей площадью 1539,34 кв. м., расположенный по адресу: г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.Б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>оготол, ул. Ефремова, д.9;</w:t>
      </w:r>
    </w:p>
    <w:p w:rsidR="000B6BA2" w:rsidRDefault="000B6BA2" w:rsidP="000B6BA2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в 2023 году – ввести в эксплуатацию 2 многоквартирных пятиэтажных дома (на 212 квартир) общей площадью 7 800 кв. м., расположенные по адресам: г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.Б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>оготол, ул. Советская, д.137/3, г. Боготол, ул. Советская, д.137/4;</w:t>
      </w:r>
    </w:p>
    <w:p w:rsidR="000B6BA2" w:rsidRDefault="000B6BA2" w:rsidP="000B6BA2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в 2024 году – ввести в эксплуатацию один многоквартирный дом общей площадью 3 900 кв. м., расположенный по адресу: г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.Б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>оготол, ул. Сибирская, д.2.</w:t>
      </w:r>
    </w:p>
    <w:p w:rsidR="00130E92" w:rsidRDefault="000B6BA2" w:rsidP="00130E9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На основании вышесказанного в период 2022-2024 годы произойдет значительное увеличение показателя "Общая площадь жилых домов, введенных в эксплуатацию в отчетном периоде за счет всех источников финансирования". Строительство планируется осуществлять за счет средств застройщика.</w:t>
      </w:r>
    </w:p>
    <w:p w:rsidR="00057B58" w:rsidRDefault="00057B58" w:rsidP="00057B5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период 2022-2024 годы значительного увеличения площади вводимых в эксплуатацию индивидуальных жилых домов не ожидается.</w:t>
      </w:r>
    </w:p>
    <w:p w:rsidR="00506E00" w:rsidRPr="00713404" w:rsidRDefault="00506E00" w:rsidP="00506E00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0C4C12" w:rsidRPr="00713404" w:rsidRDefault="000C4C12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ind w:right="-1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713404">
        <w:rPr>
          <w:rFonts w:ascii="Times New Roman CYR" w:hAnsi="Times New Roman CYR" w:cs="Times New Roman CYR"/>
          <w:b/>
          <w:sz w:val="28"/>
          <w:szCs w:val="28"/>
        </w:rPr>
        <w:t>Бюджет муниципального образования</w:t>
      </w:r>
    </w:p>
    <w:p w:rsidR="000C4C12" w:rsidRPr="00713404" w:rsidRDefault="000C4C12" w:rsidP="00B61BB1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C4C12" w:rsidRDefault="000C4C12" w:rsidP="000C4C12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713404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6A0B8F">
        <w:rPr>
          <w:rFonts w:ascii="Times New Roman CYR" w:hAnsi="Times New Roman CYR" w:cs="Times New Roman CYR"/>
          <w:sz w:val="28"/>
          <w:szCs w:val="28"/>
        </w:rPr>
        <w:t>1-м</w:t>
      </w:r>
      <w:r w:rsidR="00BC0A0A" w:rsidRPr="00713404">
        <w:rPr>
          <w:rFonts w:ascii="Times New Roman CYR" w:hAnsi="Times New Roman CYR" w:cs="Times New Roman CYR"/>
          <w:sz w:val="28"/>
          <w:szCs w:val="28"/>
        </w:rPr>
        <w:t xml:space="preserve"> полугодии </w:t>
      </w:r>
      <w:r w:rsidRPr="00713404">
        <w:rPr>
          <w:rFonts w:ascii="Times New Roman CYR" w:hAnsi="Times New Roman CYR" w:cs="Times New Roman CYR"/>
          <w:sz w:val="28"/>
          <w:szCs w:val="28"/>
        </w:rPr>
        <w:t>20</w:t>
      </w:r>
      <w:r w:rsidR="000C0121">
        <w:rPr>
          <w:rFonts w:ascii="Times New Roman CYR" w:hAnsi="Times New Roman CYR" w:cs="Times New Roman CYR"/>
          <w:sz w:val="28"/>
          <w:szCs w:val="28"/>
        </w:rPr>
        <w:t>2</w:t>
      </w:r>
      <w:r w:rsidR="0035708F">
        <w:rPr>
          <w:rFonts w:ascii="Times New Roman CYR" w:hAnsi="Times New Roman CYR" w:cs="Times New Roman CYR"/>
          <w:sz w:val="28"/>
          <w:szCs w:val="28"/>
        </w:rPr>
        <w:t>2</w:t>
      </w:r>
      <w:r w:rsidRPr="00713404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BC0A0A" w:rsidRPr="00713404">
        <w:rPr>
          <w:rFonts w:ascii="Times New Roman CYR" w:hAnsi="Times New Roman CYR" w:cs="Times New Roman CYR"/>
          <w:sz w:val="28"/>
          <w:szCs w:val="28"/>
        </w:rPr>
        <w:t>а</w:t>
      </w:r>
      <w:r w:rsidRPr="00713404">
        <w:rPr>
          <w:rFonts w:ascii="Times New Roman CYR" w:hAnsi="Times New Roman CYR" w:cs="Times New Roman CYR"/>
          <w:sz w:val="28"/>
          <w:szCs w:val="28"/>
        </w:rPr>
        <w:t xml:space="preserve"> доля налоговых и неналоговых доходов в общем объеме собственных доходов бюджета города Боготола (без учета субвенций) составила </w:t>
      </w:r>
      <w:r w:rsidR="00AA23D3">
        <w:rPr>
          <w:rFonts w:ascii="Times New Roman" w:hAnsi="Times New Roman" w:cs="Times New Roman"/>
          <w:sz w:val="28"/>
          <w:szCs w:val="28"/>
        </w:rPr>
        <w:t>22,43</w:t>
      </w:r>
      <w:r w:rsidR="00BC0A0A" w:rsidRPr="00713404">
        <w:rPr>
          <w:rFonts w:ascii="Times New Roman" w:hAnsi="Times New Roman" w:cs="Times New Roman"/>
          <w:sz w:val="28"/>
          <w:szCs w:val="28"/>
        </w:rPr>
        <w:t>%</w:t>
      </w:r>
      <w:r w:rsidRPr="00713404">
        <w:rPr>
          <w:rFonts w:ascii="Times New Roman CYR" w:hAnsi="Times New Roman CYR" w:cs="Times New Roman CYR"/>
          <w:sz w:val="28"/>
          <w:szCs w:val="28"/>
        </w:rPr>
        <w:t>.</w:t>
      </w:r>
    </w:p>
    <w:p w:rsidR="00BC0A0A" w:rsidRDefault="00BC0A0A" w:rsidP="000C4C12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целом по муниципальному бюджету наблюдается равномерное исполнение </w:t>
      </w:r>
      <w:r w:rsidR="00792B92">
        <w:rPr>
          <w:rFonts w:ascii="Times New Roman CYR" w:hAnsi="Times New Roman CYR" w:cs="Times New Roman CYR"/>
          <w:sz w:val="28"/>
          <w:szCs w:val="28"/>
        </w:rPr>
        <w:t>его доходной части.</w:t>
      </w:r>
    </w:p>
    <w:tbl>
      <w:tblPr>
        <w:tblW w:w="9355" w:type="dxa"/>
        <w:tblInd w:w="93" w:type="dxa"/>
        <w:tblLook w:val="04A0"/>
      </w:tblPr>
      <w:tblGrid>
        <w:gridCol w:w="4296"/>
        <w:gridCol w:w="1166"/>
        <w:gridCol w:w="1200"/>
        <w:gridCol w:w="1271"/>
        <w:gridCol w:w="1422"/>
      </w:tblGrid>
      <w:tr w:rsidR="00792B92" w:rsidRPr="00792B92" w:rsidTr="006648F1">
        <w:trPr>
          <w:trHeight w:val="789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792B92" w:rsidP="00792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Default="00F64BCB" w:rsidP="007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План на 202</w:t>
            </w:r>
            <w:r w:rsidR="00357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792B92"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  <w:p w:rsidR="00792B92" w:rsidRPr="00792B92" w:rsidRDefault="00792B92" w:rsidP="007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(тыс.</w:t>
            </w:r>
            <w:r w:rsidR="00E92C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руб.)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Default="00F64BCB" w:rsidP="007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План на I полугодие 202</w:t>
            </w:r>
            <w:r w:rsidR="00357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792B92" w:rsidRPr="00792B92" w:rsidRDefault="00792B92" w:rsidP="007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(тыс.</w:t>
            </w:r>
            <w:r w:rsidR="00E92C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руб.)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Default="000C0121" w:rsidP="007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Исполнено на 01.07.2</w:t>
            </w:r>
            <w:r w:rsidR="00357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792B92" w:rsidRPr="00792B92" w:rsidRDefault="00792B92" w:rsidP="007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(тыс. руб.)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B92" w:rsidRPr="00792B92" w:rsidRDefault="00792B92" w:rsidP="007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% выполнения</w:t>
            </w:r>
          </w:p>
        </w:tc>
      </w:tr>
      <w:tr w:rsidR="00792B92" w:rsidRPr="00792B92" w:rsidTr="006648F1">
        <w:trPr>
          <w:trHeight w:val="25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792B92" w:rsidP="007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доходов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792B92" w:rsidP="007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792B92" w:rsidP="007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792B92" w:rsidP="007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B92" w:rsidRPr="00792B92" w:rsidRDefault="00792B92" w:rsidP="007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92B92" w:rsidRPr="00792B92" w:rsidTr="006648F1">
        <w:trPr>
          <w:trHeight w:val="25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792B92" w:rsidP="007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792B92" w:rsidP="007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792B92" w:rsidP="007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792B92" w:rsidP="007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B92" w:rsidRPr="00792B92" w:rsidRDefault="00792B92" w:rsidP="0079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92B92" w:rsidRPr="00792B92" w:rsidTr="006648F1">
        <w:trPr>
          <w:trHeight w:val="25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792B92" w:rsidP="00792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B448E2" w:rsidP="0040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160193,0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B448E2" w:rsidP="0040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68773,10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B448E2" w:rsidP="0040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74567,63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2B92" w:rsidRPr="00792B92" w:rsidRDefault="00A36090" w:rsidP="002C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108,43</w:t>
            </w:r>
          </w:p>
        </w:tc>
      </w:tr>
      <w:tr w:rsidR="00792B92" w:rsidRPr="00792B92" w:rsidTr="006648F1">
        <w:trPr>
          <w:trHeight w:val="25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792B92" w:rsidP="00792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B448E2" w:rsidP="0040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14131,61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B448E2" w:rsidP="0040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5776,93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B448E2" w:rsidP="0040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6268,56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2B92" w:rsidRPr="00792B92" w:rsidRDefault="00A36090" w:rsidP="002C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108,51</w:t>
            </w:r>
          </w:p>
        </w:tc>
      </w:tr>
      <w:tr w:rsidR="00792B92" w:rsidRPr="00792B92" w:rsidTr="006648F1">
        <w:trPr>
          <w:trHeight w:val="25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792B92" w:rsidP="00792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БЕЗВОЗМЕЗДНЫЕ ПЕРЕЧИСЛЕНИЯ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(за минусом субвенций)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B448E2" w:rsidP="0040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1466028,44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B448E2" w:rsidP="0040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1258358,56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A36090" w:rsidP="0040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279598,90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2B92" w:rsidRPr="00792B92" w:rsidRDefault="00A36090" w:rsidP="002C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22,22</w:t>
            </w:r>
          </w:p>
        </w:tc>
      </w:tr>
      <w:tr w:rsidR="00792B92" w:rsidRPr="00792B92" w:rsidTr="006648F1">
        <w:trPr>
          <w:trHeight w:val="25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792B92" w:rsidP="00792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B448E2" w:rsidP="0040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1640353,05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B448E2" w:rsidP="0040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1332908,59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B92" w:rsidRPr="00792B92" w:rsidRDefault="00A36090" w:rsidP="00913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360435,09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2B92" w:rsidRPr="00792B92" w:rsidRDefault="00A36090" w:rsidP="002C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27,04</w:t>
            </w:r>
          </w:p>
        </w:tc>
      </w:tr>
    </w:tbl>
    <w:p w:rsidR="00792B92" w:rsidRDefault="00792B92" w:rsidP="000C4C12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92C91" w:rsidRDefault="00E92C91" w:rsidP="000C4C12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Расходы бюджета исполнены на 01.07.20</w:t>
      </w:r>
      <w:r w:rsidR="00BC6796">
        <w:rPr>
          <w:rFonts w:ascii="Times New Roman CYR" w:hAnsi="Times New Roman CYR" w:cs="Times New Roman CYR"/>
          <w:sz w:val="28"/>
          <w:szCs w:val="28"/>
        </w:rPr>
        <w:t>2</w:t>
      </w:r>
      <w:r w:rsidR="00AA23D3">
        <w:rPr>
          <w:rFonts w:ascii="Times New Roman CYR" w:hAnsi="Times New Roman CYR" w:cs="Times New Roman CYR"/>
          <w:sz w:val="28"/>
          <w:szCs w:val="28"/>
        </w:rPr>
        <w:t>2</w:t>
      </w:r>
      <w:r w:rsidR="006A0B8F">
        <w:rPr>
          <w:rFonts w:ascii="Times New Roman CYR" w:hAnsi="Times New Roman CYR" w:cs="Times New Roman CYR"/>
          <w:sz w:val="28"/>
          <w:szCs w:val="28"/>
        </w:rPr>
        <w:t xml:space="preserve"> года</w:t>
      </w:r>
      <w:r>
        <w:rPr>
          <w:rFonts w:ascii="Times New Roman CYR" w:hAnsi="Times New Roman CYR" w:cs="Times New Roman CYR"/>
          <w:sz w:val="28"/>
          <w:szCs w:val="28"/>
        </w:rPr>
        <w:t xml:space="preserve"> на </w:t>
      </w:r>
      <w:r w:rsidR="00E93583">
        <w:rPr>
          <w:rFonts w:ascii="Times New Roman CYR" w:hAnsi="Times New Roman CYR" w:cs="Times New Roman CYR"/>
          <w:sz w:val="28"/>
          <w:szCs w:val="28"/>
        </w:rPr>
        <w:t>31,58</w:t>
      </w:r>
      <w:r w:rsidR="004011BF">
        <w:rPr>
          <w:rFonts w:ascii="Times New Roman CYR" w:hAnsi="Times New Roman CYR" w:cs="Times New Roman CYR"/>
          <w:sz w:val="28"/>
          <w:szCs w:val="28"/>
        </w:rPr>
        <w:t>% от плана на 1</w:t>
      </w:r>
      <w:r w:rsidR="006A0B8F">
        <w:rPr>
          <w:rFonts w:ascii="Times New Roman CYR" w:hAnsi="Times New Roman CYR" w:cs="Times New Roman CYR"/>
          <w:sz w:val="28"/>
          <w:szCs w:val="28"/>
        </w:rPr>
        <w:t>-е</w:t>
      </w:r>
      <w:r w:rsidR="004011BF">
        <w:rPr>
          <w:rFonts w:ascii="Times New Roman CYR" w:hAnsi="Times New Roman CYR" w:cs="Times New Roman CYR"/>
          <w:sz w:val="28"/>
          <w:szCs w:val="28"/>
        </w:rPr>
        <w:t xml:space="preserve"> полугодие 20</w:t>
      </w:r>
      <w:r w:rsidR="00BC6796">
        <w:rPr>
          <w:rFonts w:ascii="Times New Roman CYR" w:hAnsi="Times New Roman CYR" w:cs="Times New Roman CYR"/>
          <w:sz w:val="28"/>
          <w:szCs w:val="28"/>
        </w:rPr>
        <w:t>2</w:t>
      </w:r>
      <w:r w:rsidR="00AA23D3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года и составили </w:t>
      </w:r>
      <w:r w:rsidR="007D1B44">
        <w:rPr>
          <w:rFonts w:ascii="Times New Roman CYR" w:hAnsi="Times New Roman CYR" w:cs="Times New Roman CYR"/>
          <w:sz w:val="28"/>
          <w:szCs w:val="28"/>
        </w:rPr>
        <w:t>491</w:t>
      </w:r>
      <w:r w:rsidR="00E93583">
        <w:rPr>
          <w:rFonts w:ascii="Times New Roman CYR" w:hAnsi="Times New Roman CYR" w:cs="Times New Roman CYR"/>
          <w:sz w:val="28"/>
          <w:szCs w:val="28"/>
        </w:rPr>
        <w:t xml:space="preserve"> 928,47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руб.</w:t>
      </w:r>
    </w:p>
    <w:p w:rsidR="000C4C12" w:rsidRDefault="000C4C12" w:rsidP="000C4C12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355" w:type="dxa"/>
        <w:tblInd w:w="93" w:type="dxa"/>
        <w:tblLook w:val="04A0"/>
      </w:tblPr>
      <w:tblGrid>
        <w:gridCol w:w="4296"/>
        <w:gridCol w:w="1166"/>
        <w:gridCol w:w="1200"/>
        <w:gridCol w:w="1271"/>
        <w:gridCol w:w="1422"/>
      </w:tblGrid>
      <w:tr w:rsidR="00AF2F90" w:rsidRPr="00792B92" w:rsidTr="002C6342">
        <w:trPr>
          <w:trHeight w:val="789"/>
        </w:trPr>
        <w:tc>
          <w:tcPr>
            <w:tcW w:w="4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F90" w:rsidRPr="00792B92" w:rsidRDefault="00AF2F90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F90" w:rsidRDefault="000C0121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План на 202</w:t>
            </w:r>
            <w:r w:rsidR="00AA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AF2F90"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  <w:p w:rsidR="00AF2F90" w:rsidRPr="00792B92" w:rsidRDefault="00AF2F90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(тыс. руб.)</w:t>
            </w:r>
          </w:p>
          <w:p w:rsidR="00AF2F90" w:rsidRPr="00792B92" w:rsidRDefault="00AF2F90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F90" w:rsidRDefault="00AF2F90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План на I полугодие 20</w:t>
            </w:r>
            <w:r w:rsidR="000C01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AA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AF2F90" w:rsidRPr="00792B92" w:rsidRDefault="00AF2F90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(тыс. руб.)</w:t>
            </w:r>
          </w:p>
          <w:p w:rsidR="00AF2F90" w:rsidRPr="00792B92" w:rsidRDefault="00AF2F90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F90" w:rsidRDefault="00F64BCB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Исполнено на 01.07.2</w:t>
            </w:r>
            <w:r w:rsidR="00AA2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AF2F90" w:rsidRPr="00792B92" w:rsidRDefault="00AF2F90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(тыс. руб.)</w:t>
            </w:r>
          </w:p>
          <w:p w:rsidR="00AF2F90" w:rsidRPr="00792B92" w:rsidRDefault="00AF2F90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F2F90" w:rsidRPr="00792B92" w:rsidRDefault="00AF2F90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% выполнения</w:t>
            </w:r>
          </w:p>
        </w:tc>
      </w:tr>
      <w:tr w:rsidR="00AF2F90" w:rsidRPr="00792B92" w:rsidTr="00462308">
        <w:trPr>
          <w:trHeight w:val="253"/>
        </w:trPr>
        <w:tc>
          <w:tcPr>
            <w:tcW w:w="4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F90" w:rsidRPr="00792B92" w:rsidRDefault="00AF2F90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F90" w:rsidRPr="00792B92" w:rsidRDefault="00AF2F90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F90" w:rsidRPr="00792B92" w:rsidRDefault="00AF2F90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F90" w:rsidRPr="00792B92" w:rsidRDefault="00AF2F90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2F90" w:rsidRPr="00792B92" w:rsidRDefault="00AF2F90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92C91" w:rsidRPr="00792B92" w:rsidTr="00462308">
        <w:trPr>
          <w:trHeight w:val="25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C91" w:rsidRPr="00792B92" w:rsidRDefault="00E92C91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C91" w:rsidRPr="00792B92" w:rsidRDefault="00E92C91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C91" w:rsidRPr="00792B92" w:rsidRDefault="00E92C91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C91" w:rsidRPr="00792B92" w:rsidRDefault="00E92C91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92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C91" w:rsidRPr="00792B92" w:rsidRDefault="00E92C91" w:rsidP="0046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E92C91" w:rsidRPr="00792B92" w:rsidTr="00E92C91">
        <w:trPr>
          <w:trHeight w:val="25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C91" w:rsidRPr="00792B92" w:rsidRDefault="00E92C91" w:rsidP="00E9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C91" w:rsidRPr="00792B92" w:rsidRDefault="00AA23D3" w:rsidP="00913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1999879,51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C91" w:rsidRPr="00792B92" w:rsidRDefault="00AA23D3" w:rsidP="00E9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1557843,78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C91" w:rsidRPr="00792B92" w:rsidRDefault="00AA23D3" w:rsidP="00E9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491928,47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2C91" w:rsidRPr="00792B92" w:rsidRDefault="00AA23D3" w:rsidP="00E9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31,58</w:t>
            </w:r>
          </w:p>
        </w:tc>
      </w:tr>
    </w:tbl>
    <w:p w:rsidR="009E48E0" w:rsidRDefault="009E48E0" w:rsidP="000C4C12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9E48E0" w:rsidRDefault="006A0B8F" w:rsidP="009E48E0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Превышение </w:t>
      </w:r>
      <w:r w:rsidR="006C422A">
        <w:rPr>
          <w:rFonts w:ascii="Times New Roman CYR" w:hAnsi="Times New Roman CYR" w:cs="Times New Roman CYR"/>
          <w:color w:val="000000"/>
          <w:sz w:val="28"/>
          <w:szCs w:val="28"/>
        </w:rPr>
        <w:t>доходов над расходами</w:t>
      </w:r>
      <w:r w:rsidR="00737EAB"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01.07.20</w:t>
      </w:r>
      <w:r w:rsidR="000C0121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AA23D3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6C422A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года </w:t>
      </w:r>
      <w:r w:rsidR="006C422A">
        <w:rPr>
          <w:rFonts w:ascii="Times New Roman CYR" w:hAnsi="Times New Roman CYR" w:cs="Times New Roman CYR"/>
          <w:color w:val="000000"/>
          <w:sz w:val="28"/>
          <w:szCs w:val="28"/>
        </w:rPr>
        <w:t xml:space="preserve">составило </w:t>
      </w:r>
      <w:r w:rsidR="00E93583">
        <w:rPr>
          <w:rFonts w:ascii="Times New Roman CYR" w:hAnsi="Times New Roman CYR" w:cs="Times New Roman CYR"/>
          <w:color w:val="000000"/>
          <w:sz w:val="28"/>
          <w:szCs w:val="28"/>
        </w:rPr>
        <w:t>18 056,87</w:t>
      </w:r>
      <w:r w:rsidR="006C422A"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руб.</w:t>
      </w:r>
    </w:p>
    <w:p w:rsidR="006C422A" w:rsidRDefault="006C422A" w:rsidP="00995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5C3636" w:rsidRPr="00394C63" w:rsidRDefault="00A53BC1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</w:t>
      </w:r>
      <w:r w:rsidR="005C3636" w:rsidRPr="00394C63">
        <w:rPr>
          <w:rFonts w:ascii="Times New Roman CYR" w:hAnsi="Times New Roman CYR" w:cs="Times New Roman CYR"/>
          <w:b/>
          <w:color w:val="000000"/>
          <w:sz w:val="28"/>
          <w:szCs w:val="28"/>
        </w:rPr>
        <w:t>Торговля, общественное питание</w:t>
      </w:r>
    </w:p>
    <w:p w:rsidR="005C4077" w:rsidRPr="005C4077" w:rsidRDefault="005C4077" w:rsidP="005C4077">
      <w:pPr>
        <w:pStyle w:val="a4"/>
        <w:autoSpaceDE w:val="0"/>
        <w:autoSpaceDN w:val="0"/>
        <w:adjustRightInd w:val="0"/>
        <w:ind w:left="927"/>
        <w:rPr>
          <w:rFonts w:ascii="Times New Roman CYR" w:hAnsi="Times New Roman CYR" w:cs="Times New Roman CYR"/>
          <w:b/>
          <w:color w:val="000000"/>
          <w:sz w:val="28"/>
          <w:szCs w:val="28"/>
        </w:rPr>
      </w:pPr>
    </w:p>
    <w:p w:rsidR="005C3636" w:rsidRDefault="008A1658" w:rsidP="005C36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202</w:t>
      </w:r>
      <w:r w:rsidR="00630634">
        <w:rPr>
          <w:rFonts w:ascii="Times New Roman CYR" w:hAnsi="Times New Roman CYR" w:cs="Times New Roman CYR"/>
          <w:sz w:val="28"/>
          <w:szCs w:val="28"/>
        </w:rPr>
        <w:t>1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году оборот розничной торговли </w:t>
      </w:r>
      <w:r w:rsidR="00D3427A">
        <w:rPr>
          <w:rFonts w:ascii="Times New Roman CYR" w:hAnsi="Times New Roman CYR" w:cs="Times New Roman CYR"/>
          <w:sz w:val="28"/>
          <w:szCs w:val="28"/>
        </w:rPr>
        <w:t>составил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30634">
        <w:rPr>
          <w:rFonts w:ascii="Times New Roman CYR" w:hAnsi="Times New Roman CYR" w:cs="Times New Roman CYR"/>
          <w:sz w:val="28"/>
          <w:szCs w:val="28"/>
        </w:rPr>
        <w:t>2 660 747,40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тыс. руб., показател</w:t>
      </w:r>
      <w:r w:rsidR="00D3427A">
        <w:rPr>
          <w:rFonts w:ascii="Times New Roman CYR" w:hAnsi="Times New Roman CYR" w:cs="Times New Roman CYR"/>
          <w:sz w:val="28"/>
          <w:szCs w:val="28"/>
        </w:rPr>
        <w:t>ь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за </w:t>
      </w:r>
      <w:r w:rsidR="00544FE8">
        <w:rPr>
          <w:rFonts w:ascii="Times New Roman CYR" w:hAnsi="Times New Roman CYR" w:cs="Times New Roman CYR"/>
          <w:sz w:val="28"/>
          <w:szCs w:val="28"/>
        </w:rPr>
        <w:t xml:space="preserve">1-е </w:t>
      </w:r>
      <w:r w:rsidR="00425E1A">
        <w:rPr>
          <w:rFonts w:ascii="Times New Roman CYR" w:hAnsi="Times New Roman CYR" w:cs="Times New Roman CYR"/>
          <w:sz w:val="28"/>
          <w:szCs w:val="28"/>
        </w:rPr>
        <w:t>полугодие 202</w:t>
      </w:r>
      <w:r w:rsidR="00630634">
        <w:rPr>
          <w:rFonts w:ascii="Times New Roman CYR" w:hAnsi="Times New Roman CYR" w:cs="Times New Roman CYR"/>
          <w:sz w:val="28"/>
          <w:szCs w:val="28"/>
        </w:rPr>
        <w:t>2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года составил </w:t>
      </w:r>
      <w:r w:rsidR="00D3427A">
        <w:rPr>
          <w:rFonts w:ascii="Times New Roman CYR" w:hAnsi="Times New Roman CYR" w:cs="Times New Roman CYR"/>
          <w:sz w:val="28"/>
          <w:szCs w:val="28"/>
        </w:rPr>
        <w:t>1</w:t>
      </w:r>
      <w:r w:rsidR="00630634">
        <w:rPr>
          <w:rFonts w:ascii="Times New Roman CYR" w:hAnsi="Times New Roman CYR" w:cs="Times New Roman CYR"/>
          <w:sz w:val="28"/>
          <w:szCs w:val="28"/>
        </w:rPr>
        <w:t> 914 570,94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тыс. руб.</w:t>
      </w:r>
      <w:r w:rsidR="001B79F6">
        <w:rPr>
          <w:rFonts w:ascii="Times New Roman CYR" w:hAnsi="Times New Roman CYR" w:cs="Times New Roman CYR"/>
          <w:sz w:val="28"/>
          <w:szCs w:val="28"/>
        </w:rPr>
        <w:t>,</w:t>
      </w:r>
      <w:r w:rsidR="005C3636" w:rsidRPr="005C3636">
        <w:t xml:space="preserve"> </w:t>
      </w:r>
      <w:r w:rsidR="001B79F6">
        <w:rPr>
          <w:rFonts w:ascii="Times New Roman CYR" w:hAnsi="Times New Roman CYR" w:cs="Times New Roman CYR"/>
          <w:sz w:val="28"/>
          <w:szCs w:val="28"/>
        </w:rPr>
        <w:t>т</w:t>
      </w:r>
      <w:r w:rsidR="005C3636" w:rsidRPr="005C3636">
        <w:rPr>
          <w:rFonts w:ascii="Times New Roman CYR" w:hAnsi="Times New Roman CYR" w:cs="Times New Roman CYR"/>
          <w:sz w:val="28"/>
          <w:szCs w:val="28"/>
        </w:rPr>
        <w:t>емп роста оборота розничн</w:t>
      </w:r>
      <w:r w:rsidR="00D3427A">
        <w:rPr>
          <w:rFonts w:ascii="Times New Roman CYR" w:hAnsi="Times New Roman CYR" w:cs="Times New Roman CYR"/>
          <w:sz w:val="28"/>
          <w:szCs w:val="28"/>
        </w:rPr>
        <w:t>ой торговли</w:t>
      </w:r>
      <w:r w:rsidR="005C3636" w:rsidRPr="005C3636">
        <w:rPr>
          <w:rFonts w:ascii="Times New Roman CYR" w:hAnsi="Times New Roman CYR" w:cs="Times New Roman CYR"/>
          <w:sz w:val="28"/>
          <w:szCs w:val="28"/>
        </w:rPr>
        <w:t>, к соответствующему периоду предыдущего года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3427A">
        <w:rPr>
          <w:rFonts w:ascii="Times New Roman CYR" w:hAnsi="Times New Roman CYR" w:cs="Times New Roman CYR"/>
          <w:sz w:val="28"/>
          <w:szCs w:val="28"/>
        </w:rPr>
        <w:t>–</w:t>
      </w:r>
      <w:r w:rsidR="001B79F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30634">
        <w:rPr>
          <w:rFonts w:ascii="Times New Roman CYR" w:hAnsi="Times New Roman CYR" w:cs="Times New Roman CYR"/>
          <w:sz w:val="28"/>
          <w:szCs w:val="28"/>
        </w:rPr>
        <w:t xml:space="preserve">129,28 </w:t>
      </w:r>
      <w:r w:rsidR="001B79F6">
        <w:rPr>
          <w:rFonts w:ascii="Times New Roman CYR" w:hAnsi="Times New Roman CYR" w:cs="Times New Roman CYR"/>
          <w:sz w:val="28"/>
          <w:szCs w:val="28"/>
        </w:rPr>
        <w:t xml:space="preserve">%. 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70BB9">
        <w:rPr>
          <w:rFonts w:ascii="Times New Roman CYR" w:hAnsi="Times New Roman CYR" w:cs="Times New Roman CYR"/>
          <w:sz w:val="28"/>
          <w:szCs w:val="28"/>
        </w:rPr>
        <w:t>П</w:t>
      </w:r>
      <w:r w:rsidR="005C3636">
        <w:rPr>
          <w:rFonts w:ascii="Times New Roman CYR" w:hAnsi="Times New Roman CYR" w:cs="Times New Roman CYR"/>
          <w:sz w:val="28"/>
          <w:szCs w:val="28"/>
        </w:rPr>
        <w:t>рогноз</w:t>
      </w:r>
      <w:r w:rsidR="00C70BB9">
        <w:rPr>
          <w:rFonts w:ascii="Times New Roman CYR" w:hAnsi="Times New Roman CYR" w:cs="Times New Roman CYR"/>
          <w:sz w:val="28"/>
          <w:szCs w:val="28"/>
        </w:rPr>
        <w:t xml:space="preserve"> на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70BB9">
        <w:rPr>
          <w:rFonts w:ascii="Times New Roman CYR" w:hAnsi="Times New Roman CYR" w:cs="Times New Roman CYR"/>
          <w:sz w:val="28"/>
          <w:szCs w:val="28"/>
        </w:rPr>
        <w:t>20</w:t>
      </w:r>
      <w:r w:rsidR="0016056C">
        <w:rPr>
          <w:rFonts w:ascii="Times New Roman CYR" w:hAnsi="Times New Roman CYR" w:cs="Times New Roman CYR"/>
          <w:sz w:val="28"/>
          <w:szCs w:val="28"/>
        </w:rPr>
        <w:t>2</w:t>
      </w:r>
      <w:r w:rsidR="00630634">
        <w:rPr>
          <w:rFonts w:ascii="Times New Roman CYR" w:hAnsi="Times New Roman CYR" w:cs="Times New Roman CYR"/>
          <w:sz w:val="28"/>
          <w:szCs w:val="28"/>
        </w:rPr>
        <w:t>2</w:t>
      </w:r>
      <w:r w:rsidR="00C70BB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E94937">
        <w:rPr>
          <w:rFonts w:ascii="Times New Roman CYR" w:hAnsi="Times New Roman CYR" w:cs="Times New Roman CYR"/>
          <w:sz w:val="28"/>
          <w:szCs w:val="28"/>
        </w:rPr>
        <w:t>,</w:t>
      </w:r>
      <w:r w:rsidR="00C70BB9">
        <w:rPr>
          <w:rFonts w:ascii="Times New Roman CYR" w:hAnsi="Times New Roman CYR" w:cs="Times New Roman CYR"/>
          <w:sz w:val="28"/>
          <w:szCs w:val="28"/>
        </w:rPr>
        <w:t xml:space="preserve"> при неизменном темпе рост</w:t>
      </w:r>
      <w:r w:rsidR="0037722D">
        <w:rPr>
          <w:rFonts w:ascii="Times New Roman CYR" w:hAnsi="Times New Roman CYR" w:cs="Times New Roman CYR"/>
          <w:sz w:val="28"/>
          <w:szCs w:val="28"/>
        </w:rPr>
        <w:t>а</w:t>
      </w:r>
      <w:r w:rsidR="00D84BA8">
        <w:rPr>
          <w:rFonts w:ascii="Times New Roman CYR" w:hAnsi="Times New Roman CYR" w:cs="Times New Roman CYR"/>
          <w:sz w:val="28"/>
          <w:szCs w:val="28"/>
        </w:rPr>
        <w:t xml:space="preserve">, сложившемся </w:t>
      </w:r>
      <w:r w:rsidR="00C70BB9">
        <w:rPr>
          <w:rFonts w:ascii="Times New Roman CYR" w:hAnsi="Times New Roman CYR" w:cs="Times New Roman CYR"/>
          <w:sz w:val="28"/>
          <w:szCs w:val="28"/>
        </w:rPr>
        <w:t xml:space="preserve">за полугодие текущего года, составит </w:t>
      </w:r>
      <w:r w:rsidR="0016056C">
        <w:rPr>
          <w:rFonts w:ascii="Times New Roman CYR" w:hAnsi="Times New Roman CYR" w:cs="Times New Roman CYR"/>
          <w:sz w:val="28"/>
          <w:szCs w:val="28"/>
        </w:rPr>
        <w:t>2</w:t>
      </w:r>
      <w:r w:rsidR="00630634">
        <w:rPr>
          <w:rFonts w:ascii="Times New Roman CYR" w:hAnsi="Times New Roman CYR" w:cs="Times New Roman CYR"/>
          <w:sz w:val="28"/>
          <w:szCs w:val="28"/>
        </w:rPr>
        <w:t> 991 517,10</w:t>
      </w:r>
      <w:r w:rsidR="00425E1A">
        <w:rPr>
          <w:rFonts w:ascii="Times New Roman CYR" w:hAnsi="Times New Roman CYR" w:cs="Times New Roman CYR"/>
          <w:sz w:val="28"/>
          <w:szCs w:val="28"/>
        </w:rPr>
        <w:t xml:space="preserve"> тыс. руб., что </w:t>
      </w:r>
      <w:r w:rsidR="007230D1">
        <w:rPr>
          <w:rFonts w:ascii="Times New Roman CYR" w:hAnsi="Times New Roman CYR" w:cs="Times New Roman CYR"/>
          <w:sz w:val="28"/>
          <w:szCs w:val="28"/>
        </w:rPr>
        <w:t>ниже</w:t>
      </w:r>
      <w:r w:rsidR="0037722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7F93">
        <w:rPr>
          <w:rFonts w:ascii="Times New Roman CYR" w:hAnsi="Times New Roman CYR" w:cs="Times New Roman CYR"/>
          <w:sz w:val="28"/>
          <w:szCs w:val="28"/>
        </w:rPr>
        <w:t xml:space="preserve">оценочных значений на </w:t>
      </w:r>
      <w:r w:rsidR="00630634">
        <w:rPr>
          <w:rFonts w:ascii="Times New Roman CYR" w:hAnsi="Times New Roman CYR" w:cs="Times New Roman CYR"/>
          <w:sz w:val="28"/>
          <w:szCs w:val="28"/>
        </w:rPr>
        <w:t>86</w:t>
      </w:r>
      <w:proofErr w:type="gramEnd"/>
      <w:r w:rsidR="00630634">
        <w:rPr>
          <w:rFonts w:ascii="Times New Roman CYR" w:hAnsi="Times New Roman CYR" w:cs="Times New Roman CYR"/>
          <w:sz w:val="28"/>
          <w:szCs w:val="28"/>
        </w:rPr>
        <w:t> 247,02</w:t>
      </w:r>
      <w:r w:rsidR="00C70BB9">
        <w:rPr>
          <w:rFonts w:ascii="Times New Roman CYR" w:hAnsi="Times New Roman CYR" w:cs="Times New Roman CYR"/>
          <w:sz w:val="28"/>
          <w:szCs w:val="28"/>
        </w:rPr>
        <w:t xml:space="preserve"> тыс. руб.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30634">
        <w:rPr>
          <w:rFonts w:ascii="Times New Roman CYR" w:hAnsi="Times New Roman CYR" w:cs="Times New Roman CYR"/>
          <w:sz w:val="28"/>
          <w:szCs w:val="28"/>
          <w:u w:color="FF0000"/>
        </w:rPr>
        <w:t>Увеличение показателя обусловлено с послаблением введенных мер по нераспространению коронавирусной инфекции на территории Красноярского края. Часть торговых объектов закрылась, поменялся формат торговли. Открыл</w:t>
      </w:r>
      <w:r w:rsidR="007230D1">
        <w:rPr>
          <w:rFonts w:ascii="Times New Roman CYR" w:hAnsi="Times New Roman CYR" w:cs="Times New Roman CYR"/>
          <w:sz w:val="28"/>
          <w:szCs w:val="28"/>
          <w:u w:color="FF0000"/>
        </w:rPr>
        <w:t>ись</w:t>
      </w:r>
      <w:r w:rsidR="00630634">
        <w:rPr>
          <w:rFonts w:ascii="Times New Roman CYR" w:hAnsi="Times New Roman CYR" w:cs="Times New Roman CYR"/>
          <w:sz w:val="28"/>
          <w:szCs w:val="28"/>
          <w:u w:color="FF0000"/>
        </w:rPr>
        <w:t xml:space="preserve"> на территории супермаркет «Магнит», «Магнит </w:t>
      </w:r>
      <w:proofErr w:type="spellStart"/>
      <w:r w:rsidR="00630634">
        <w:rPr>
          <w:rFonts w:ascii="Times New Roman CYR" w:hAnsi="Times New Roman CYR" w:cs="Times New Roman CYR"/>
          <w:sz w:val="28"/>
          <w:szCs w:val="28"/>
          <w:u w:color="FF0000"/>
        </w:rPr>
        <w:t>косметикс</w:t>
      </w:r>
      <w:proofErr w:type="spellEnd"/>
      <w:r w:rsidR="00630634">
        <w:rPr>
          <w:rFonts w:ascii="Times New Roman CYR" w:hAnsi="Times New Roman CYR" w:cs="Times New Roman CYR"/>
          <w:sz w:val="28"/>
          <w:szCs w:val="28"/>
          <w:u w:color="FF0000"/>
        </w:rPr>
        <w:t>» федеральной торговой сети «Магнит»</w:t>
      </w:r>
      <w:r w:rsidR="007230D1">
        <w:rPr>
          <w:rFonts w:ascii="Times New Roman CYR" w:hAnsi="Times New Roman CYR" w:cs="Times New Roman CYR"/>
          <w:sz w:val="28"/>
          <w:szCs w:val="28"/>
          <w:u w:color="FF0000"/>
        </w:rPr>
        <w:t>,  магазин сети «Бристоль»,  продолжает расширяться торговая сеть «Русский</w:t>
      </w:r>
      <w:proofErr w:type="gramStart"/>
      <w:r w:rsidR="007230D1">
        <w:rPr>
          <w:rFonts w:ascii="Times New Roman CYR" w:hAnsi="Times New Roman CYR" w:cs="Times New Roman CYR"/>
          <w:sz w:val="28"/>
          <w:szCs w:val="28"/>
          <w:u w:color="FF0000"/>
        </w:rPr>
        <w:t xml:space="preserve"> Р</w:t>
      </w:r>
      <w:proofErr w:type="gramEnd"/>
      <w:r w:rsidR="007230D1">
        <w:rPr>
          <w:rFonts w:ascii="Times New Roman CYR" w:hAnsi="Times New Roman CYR" w:cs="Times New Roman CYR"/>
          <w:sz w:val="28"/>
          <w:szCs w:val="28"/>
          <w:u w:color="FF0000"/>
        </w:rPr>
        <w:t xml:space="preserve">азгуляй». </w:t>
      </w:r>
    </w:p>
    <w:p w:rsidR="0037722D" w:rsidRDefault="00E94937" w:rsidP="005C36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Оборот общественного питания за </w:t>
      </w:r>
      <w:r w:rsidR="00544FE8">
        <w:rPr>
          <w:rFonts w:ascii="Times New Roman CYR" w:hAnsi="Times New Roman CYR" w:cs="Times New Roman CYR"/>
          <w:sz w:val="28"/>
          <w:szCs w:val="28"/>
        </w:rPr>
        <w:t xml:space="preserve">1-е </w:t>
      </w:r>
      <w:r>
        <w:rPr>
          <w:rFonts w:ascii="Times New Roman CYR" w:hAnsi="Times New Roman CYR" w:cs="Times New Roman CYR"/>
          <w:sz w:val="28"/>
          <w:szCs w:val="28"/>
        </w:rPr>
        <w:t>полугодие 20</w:t>
      </w:r>
      <w:r w:rsidR="00425E1A">
        <w:rPr>
          <w:rFonts w:ascii="Times New Roman CYR" w:hAnsi="Times New Roman CYR" w:cs="Times New Roman CYR"/>
          <w:sz w:val="28"/>
          <w:szCs w:val="28"/>
        </w:rPr>
        <w:t>2</w:t>
      </w:r>
      <w:r w:rsidR="007230D1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года составил </w:t>
      </w:r>
      <w:r w:rsidR="007230D1">
        <w:rPr>
          <w:rFonts w:ascii="Times New Roman CYR" w:hAnsi="Times New Roman CYR" w:cs="Times New Roman CYR"/>
          <w:sz w:val="28"/>
          <w:szCs w:val="28"/>
        </w:rPr>
        <w:t>23 566,99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руб., т</w:t>
      </w:r>
      <w:r w:rsidRPr="00E94937">
        <w:rPr>
          <w:rFonts w:ascii="Times New Roman CYR" w:hAnsi="Times New Roman CYR" w:cs="Times New Roman CYR"/>
          <w:sz w:val="28"/>
          <w:szCs w:val="28"/>
        </w:rPr>
        <w:t>емп роста оборота общественного питания в сопоставимых ценах, к соответствующему периоду предыдущего года</w:t>
      </w:r>
      <w:r w:rsidR="00EE7F93">
        <w:rPr>
          <w:rFonts w:ascii="Times New Roman CYR" w:hAnsi="Times New Roman CYR" w:cs="Times New Roman CYR"/>
          <w:sz w:val="28"/>
          <w:szCs w:val="28"/>
        </w:rPr>
        <w:t xml:space="preserve"> – </w:t>
      </w:r>
      <w:r w:rsidR="007230D1">
        <w:rPr>
          <w:rFonts w:ascii="Times New Roman CYR" w:hAnsi="Times New Roman CYR" w:cs="Times New Roman CYR"/>
          <w:sz w:val="28"/>
          <w:szCs w:val="28"/>
        </w:rPr>
        <w:t>191,75</w:t>
      </w:r>
      <w:r>
        <w:rPr>
          <w:rFonts w:ascii="Times New Roman CYR" w:hAnsi="Times New Roman CYR" w:cs="Times New Roman CYR"/>
          <w:sz w:val="28"/>
          <w:szCs w:val="28"/>
        </w:rPr>
        <w:t>%. Прогноз на 20</w:t>
      </w:r>
      <w:r w:rsidR="00425E1A">
        <w:rPr>
          <w:rFonts w:ascii="Times New Roman CYR" w:hAnsi="Times New Roman CYR" w:cs="Times New Roman CYR"/>
          <w:sz w:val="28"/>
          <w:szCs w:val="28"/>
        </w:rPr>
        <w:t>2</w:t>
      </w:r>
      <w:r w:rsidR="007230D1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год, при неиз</w:t>
      </w:r>
      <w:r w:rsidR="00544FE8">
        <w:rPr>
          <w:rFonts w:ascii="Times New Roman CYR" w:hAnsi="Times New Roman CYR" w:cs="Times New Roman CYR"/>
          <w:sz w:val="28"/>
          <w:szCs w:val="28"/>
        </w:rPr>
        <w:t>менном темпе роста, сложившемся</w:t>
      </w:r>
      <w:r>
        <w:rPr>
          <w:rFonts w:ascii="Times New Roman CYR" w:hAnsi="Times New Roman CYR" w:cs="Times New Roman CYR"/>
          <w:sz w:val="28"/>
          <w:szCs w:val="28"/>
        </w:rPr>
        <w:t xml:space="preserve"> за </w:t>
      </w:r>
      <w:r w:rsidR="00544FE8">
        <w:rPr>
          <w:rFonts w:ascii="Times New Roman CYR" w:hAnsi="Times New Roman CYR" w:cs="Times New Roman CYR"/>
          <w:sz w:val="28"/>
          <w:szCs w:val="28"/>
        </w:rPr>
        <w:t xml:space="preserve">1-е </w:t>
      </w:r>
      <w:r>
        <w:rPr>
          <w:rFonts w:ascii="Times New Roman CYR" w:hAnsi="Times New Roman CYR" w:cs="Times New Roman CYR"/>
          <w:sz w:val="28"/>
          <w:szCs w:val="28"/>
        </w:rPr>
        <w:t>полугодие т</w:t>
      </w:r>
      <w:r w:rsidR="00EE7F93">
        <w:rPr>
          <w:rFonts w:ascii="Times New Roman CYR" w:hAnsi="Times New Roman CYR" w:cs="Times New Roman CYR"/>
          <w:sz w:val="28"/>
          <w:szCs w:val="28"/>
        </w:rPr>
        <w:t xml:space="preserve">екущего года, составит </w:t>
      </w:r>
      <w:r w:rsidR="007230D1">
        <w:rPr>
          <w:rFonts w:ascii="Times New Roman CYR" w:hAnsi="Times New Roman CYR" w:cs="Times New Roman CYR"/>
          <w:sz w:val="28"/>
          <w:szCs w:val="28"/>
        </w:rPr>
        <w:t>58 915,57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руб., что </w:t>
      </w:r>
      <w:r w:rsidR="007230D1">
        <w:rPr>
          <w:rFonts w:ascii="Times New Roman CYR" w:hAnsi="Times New Roman CYR" w:cs="Times New Roman CYR"/>
          <w:sz w:val="28"/>
          <w:szCs w:val="28"/>
        </w:rPr>
        <w:t>выше</w:t>
      </w:r>
      <w:r>
        <w:rPr>
          <w:rFonts w:ascii="Times New Roman CYR" w:hAnsi="Times New Roman CYR" w:cs="Times New Roman CYR"/>
          <w:sz w:val="28"/>
          <w:szCs w:val="28"/>
        </w:rPr>
        <w:t xml:space="preserve"> оценочных значений на </w:t>
      </w:r>
      <w:r w:rsidR="007230D1">
        <w:rPr>
          <w:rFonts w:ascii="Times New Roman CYR" w:hAnsi="Times New Roman CYR" w:cs="Times New Roman CYR"/>
          <w:sz w:val="28"/>
          <w:szCs w:val="28"/>
        </w:rPr>
        <w:t>22 658,67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руб.</w:t>
      </w:r>
      <w:r w:rsidR="007230D1">
        <w:rPr>
          <w:rFonts w:ascii="Times New Roman CYR" w:hAnsi="Times New Roman CYR" w:cs="Times New Roman CYR"/>
          <w:sz w:val="28"/>
          <w:szCs w:val="28"/>
        </w:rPr>
        <w:t xml:space="preserve"> Такой рост обусловлен активным восстановлением</w:t>
      </w:r>
      <w:proofErr w:type="gramEnd"/>
      <w:r w:rsidR="007230D1">
        <w:rPr>
          <w:rFonts w:ascii="Times New Roman CYR" w:hAnsi="Times New Roman CYR" w:cs="Times New Roman CYR"/>
          <w:sz w:val="28"/>
          <w:szCs w:val="28"/>
        </w:rPr>
        <w:t xml:space="preserve"> отрасли после пандемийных ограничений</w:t>
      </w:r>
      <w:r w:rsidR="007230D1">
        <w:rPr>
          <w:rFonts w:ascii="Times New Roman CYR" w:hAnsi="Times New Roman CYR" w:cs="Times New Roman CYR"/>
          <w:color w:val="000000"/>
          <w:sz w:val="28"/>
          <w:szCs w:val="28"/>
        </w:rPr>
        <w:t xml:space="preserve"> с учетом действующих мер поддержки.</w:t>
      </w:r>
    </w:p>
    <w:p w:rsidR="00C70BB9" w:rsidRPr="004B734B" w:rsidRDefault="00C70BB9" w:rsidP="00C70BB9">
      <w:pPr>
        <w:widowControl w:val="0"/>
        <w:spacing w:before="120" w:after="120"/>
        <w:ind w:firstLine="720"/>
        <w:jc w:val="both"/>
        <w:rPr>
          <w:i/>
          <w:sz w:val="28"/>
          <w:szCs w:val="28"/>
        </w:rPr>
      </w:pPr>
      <w:r w:rsidRPr="004B734B">
        <w:rPr>
          <w:i/>
          <w:sz w:val="28"/>
          <w:szCs w:val="28"/>
        </w:rPr>
        <w:t xml:space="preserve">Сравнение годовой оценки с прогнозируемыми </w:t>
      </w:r>
      <w:r w:rsidR="00544FE8">
        <w:rPr>
          <w:i/>
          <w:sz w:val="28"/>
          <w:szCs w:val="28"/>
        </w:rPr>
        <w:t>параметрами приведено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15"/>
        <w:gridCol w:w="1352"/>
        <w:gridCol w:w="1275"/>
        <w:gridCol w:w="1300"/>
        <w:gridCol w:w="1281"/>
        <w:gridCol w:w="1345"/>
      </w:tblGrid>
      <w:tr w:rsidR="00791C3A" w:rsidRPr="009E0DB2" w:rsidTr="00462308">
        <w:trPr>
          <w:tblHeader/>
          <w:jc w:val="center"/>
        </w:trPr>
        <w:tc>
          <w:tcPr>
            <w:tcW w:w="30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BB9" w:rsidRPr="009E0DB2" w:rsidRDefault="00C70BB9" w:rsidP="00462308">
            <w:pPr>
              <w:widowControl w:val="0"/>
              <w:spacing w:before="120" w:after="120"/>
              <w:rPr>
                <w:rFonts w:ascii="Calibri" w:eastAsia="Calibri" w:hAnsi="Calibri" w:cs="Calibri"/>
                <w:i/>
                <w:lang w:eastAsia="en-US"/>
              </w:rPr>
            </w:pPr>
            <w:r w:rsidRPr="009E0DB2">
              <w:rPr>
                <w:i/>
              </w:rPr>
              <w:t>Наименование показателей</w:t>
            </w:r>
          </w:p>
        </w:tc>
        <w:tc>
          <w:tcPr>
            <w:tcW w:w="13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BB9" w:rsidRPr="009E0DB2" w:rsidRDefault="00C70BB9" w:rsidP="00462308">
            <w:pPr>
              <w:widowControl w:val="0"/>
              <w:spacing w:before="120" w:after="120"/>
              <w:jc w:val="center"/>
              <w:rPr>
                <w:rFonts w:ascii="Calibri" w:eastAsia="Calibri" w:hAnsi="Calibri" w:cs="Calibri"/>
                <w:i/>
                <w:lang w:eastAsia="en-US"/>
              </w:rPr>
            </w:pPr>
            <w:r w:rsidRPr="009E0DB2">
              <w:rPr>
                <w:i/>
              </w:rPr>
              <w:t xml:space="preserve">Единица </w:t>
            </w:r>
            <w:r w:rsidRPr="009E0DB2">
              <w:rPr>
                <w:i/>
              </w:rPr>
              <w:br/>
              <w:t>измерения</w:t>
            </w:r>
          </w:p>
        </w:tc>
        <w:tc>
          <w:tcPr>
            <w:tcW w:w="1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BB9" w:rsidRPr="002F68D4" w:rsidRDefault="00C70BB9" w:rsidP="00462308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2F68D4">
              <w:rPr>
                <w:i/>
                <w:sz w:val="20"/>
                <w:szCs w:val="20"/>
              </w:rPr>
              <w:t>Факт</w:t>
            </w:r>
          </w:p>
          <w:p w:rsidR="00C70BB9" w:rsidRPr="002F68D4" w:rsidRDefault="00C70BB9" w:rsidP="00462308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2F68D4">
              <w:rPr>
                <w:i/>
                <w:sz w:val="20"/>
                <w:szCs w:val="20"/>
              </w:rPr>
              <w:t>1 полугодие</w:t>
            </w:r>
          </w:p>
          <w:p w:rsidR="00C70BB9" w:rsidRPr="009E0DB2" w:rsidRDefault="00425E1A" w:rsidP="007230D1">
            <w:pPr>
              <w:widowControl w:val="0"/>
              <w:spacing w:before="120" w:after="120"/>
              <w:jc w:val="center"/>
              <w:rPr>
                <w:i/>
              </w:rPr>
            </w:pPr>
            <w:r>
              <w:rPr>
                <w:i/>
                <w:sz w:val="20"/>
                <w:szCs w:val="20"/>
              </w:rPr>
              <w:t>202</w:t>
            </w:r>
            <w:r w:rsidR="007230D1">
              <w:rPr>
                <w:i/>
                <w:sz w:val="20"/>
                <w:szCs w:val="20"/>
              </w:rPr>
              <w:t>2</w:t>
            </w:r>
            <w:r w:rsidR="00C70BB9" w:rsidRPr="002F68D4">
              <w:rPr>
                <w:i/>
                <w:sz w:val="20"/>
                <w:szCs w:val="20"/>
              </w:rPr>
              <w:t xml:space="preserve"> года</w:t>
            </w:r>
          </w:p>
        </w:tc>
        <w:tc>
          <w:tcPr>
            <w:tcW w:w="13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BB9" w:rsidRPr="009E0DB2" w:rsidRDefault="00C70BB9" w:rsidP="007230D1">
            <w:pPr>
              <w:widowControl w:val="0"/>
              <w:spacing w:before="120" w:after="120"/>
              <w:jc w:val="center"/>
              <w:rPr>
                <w:rFonts w:ascii="Calibri" w:eastAsia="Calibri" w:hAnsi="Calibri" w:cs="Calibri"/>
                <w:i/>
                <w:lang w:eastAsia="en-US"/>
              </w:rPr>
            </w:pPr>
            <w:r w:rsidRPr="009E0DB2">
              <w:rPr>
                <w:i/>
              </w:rPr>
              <w:t xml:space="preserve">Прогноз </w:t>
            </w:r>
            <w:r w:rsidRPr="009E0DB2">
              <w:rPr>
                <w:i/>
              </w:rPr>
              <w:br/>
              <w:t>на 20</w:t>
            </w:r>
            <w:r w:rsidR="00425E1A">
              <w:rPr>
                <w:i/>
              </w:rPr>
              <w:t>2</w:t>
            </w:r>
            <w:r w:rsidR="007230D1">
              <w:rPr>
                <w:i/>
              </w:rPr>
              <w:t>2</w:t>
            </w:r>
            <w:r w:rsidRPr="009E0DB2">
              <w:rPr>
                <w:i/>
              </w:rPr>
              <w:t xml:space="preserve"> год</w:t>
            </w:r>
          </w:p>
        </w:tc>
        <w:tc>
          <w:tcPr>
            <w:tcW w:w="12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BB9" w:rsidRPr="009E0DB2" w:rsidRDefault="00C70BB9" w:rsidP="007230D1">
            <w:pPr>
              <w:widowControl w:val="0"/>
              <w:spacing w:before="120" w:after="120"/>
              <w:jc w:val="center"/>
              <w:rPr>
                <w:rFonts w:ascii="Calibri" w:eastAsia="Calibri" w:hAnsi="Calibri" w:cs="Calibri"/>
                <w:i/>
                <w:lang w:eastAsia="en-US"/>
              </w:rPr>
            </w:pPr>
            <w:r w:rsidRPr="009E0DB2">
              <w:rPr>
                <w:i/>
              </w:rPr>
              <w:t xml:space="preserve">Оценка </w:t>
            </w:r>
            <w:r w:rsidRPr="009E0DB2">
              <w:rPr>
                <w:i/>
              </w:rPr>
              <w:br/>
              <w:t>на 20</w:t>
            </w:r>
            <w:r w:rsidR="00425E1A">
              <w:rPr>
                <w:i/>
              </w:rPr>
              <w:t>2</w:t>
            </w:r>
            <w:r w:rsidR="007230D1">
              <w:rPr>
                <w:i/>
              </w:rPr>
              <w:t>2</w:t>
            </w:r>
            <w:r w:rsidRPr="009E0DB2">
              <w:rPr>
                <w:i/>
              </w:rPr>
              <w:t xml:space="preserve"> год</w:t>
            </w:r>
          </w:p>
        </w:tc>
        <w:tc>
          <w:tcPr>
            <w:tcW w:w="1362" w:type="dxa"/>
          </w:tcPr>
          <w:p w:rsidR="00C70BB9" w:rsidRPr="009E0DB2" w:rsidRDefault="00C70BB9" w:rsidP="00462308">
            <w:pPr>
              <w:widowControl w:val="0"/>
              <w:spacing w:before="120" w:after="120"/>
              <w:jc w:val="center"/>
              <w:rPr>
                <w:i/>
              </w:rPr>
            </w:pPr>
            <w:r w:rsidRPr="009E0DB2">
              <w:rPr>
                <w:i/>
              </w:rPr>
              <w:t xml:space="preserve">Отклонение от </w:t>
            </w:r>
            <w:r>
              <w:rPr>
                <w:i/>
              </w:rPr>
              <w:t>оценки</w:t>
            </w:r>
          </w:p>
        </w:tc>
      </w:tr>
      <w:tr w:rsidR="00791C3A" w:rsidRPr="009E0DB2" w:rsidTr="00462308">
        <w:trPr>
          <w:jc w:val="center"/>
        </w:trPr>
        <w:tc>
          <w:tcPr>
            <w:tcW w:w="30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BB9" w:rsidRPr="009E0DB2" w:rsidRDefault="00C70BB9" w:rsidP="00462308">
            <w:pPr>
              <w:widowContro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Оборот розничной торговли</w:t>
            </w:r>
          </w:p>
        </w:tc>
        <w:tc>
          <w:tcPr>
            <w:tcW w:w="1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BB9" w:rsidRPr="009E0DB2" w:rsidRDefault="00C70BB9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Тыс.</w:t>
            </w:r>
            <w:r w:rsidRPr="009E0DB2">
              <w:rPr>
                <w:rFonts w:eastAsia="Calibri"/>
                <w:i/>
                <w:lang w:eastAsia="en-US"/>
              </w:rPr>
              <w:t xml:space="preserve"> рублей</w:t>
            </w:r>
          </w:p>
        </w:tc>
        <w:tc>
          <w:tcPr>
            <w:tcW w:w="10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BB9" w:rsidRPr="009E0DB2" w:rsidRDefault="007230D1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1914570,94</w:t>
            </w:r>
          </w:p>
        </w:tc>
        <w:tc>
          <w:tcPr>
            <w:tcW w:w="13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BB9" w:rsidRPr="009E0DB2" w:rsidRDefault="007230D1" w:rsidP="00791C3A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2905270,08</w:t>
            </w:r>
          </w:p>
        </w:tc>
        <w:tc>
          <w:tcPr>
            <w:tcW w:w="12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BB9" w:rsidRPr="009E0DB2" w:rsidRDefault="007230D1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2991517,10</w:t>
            </w:r>
          </w:p>
        </w:tc>
        <w:tc>
          <w:tcPr>
            <w:tcW w:w="1362" w:type="dxa"/>
            <w:vAlign w:val="center"/>
          </w:tcPr>
          <w:p w:rsidR="00E94937" w:rsidRPr="009E0DB2" w:rsidRDefault="007230D1" w:rsidP="00791C3A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86247,02</w:t>
            </w:r>
          </w:p>
        </w:tc>
      </w:tr>
      <w:tr w:rsidR="00791C3A" w:rsidRPr="009E0DB2" w:rsidTr="00462308">
        <w:trPr>
          <w:jc w:val="center"/>
        </w:trPr>
        <w:tc>
          <w:tcPr>
            <w:tcW w:w="30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BB9" w:rsidRPr="009E0DB2" w:rsidRDefault="00C70BB9" w:rsidP="00462308">
            <w:pPr>
              <w:widowControl w:val="0"/>
              <w:rPr>
                <w:i/>
                <w:lang w:eastAsia="en-US"/>
              </w:rPr>
            </w:pPr>
            <w:r w:rsidRPr="009E0DB2">
              <w:rPr>
                <w:i/>
                <w:lang w:eastAsia="en-US"/>
              </w:rPr>
              <w:lastRenderedPageBreak/>
              <w:t>Темп роста в сопоставимых ценах</w:t>
            </w:r>
          </w:p>
        </w:tc>
        <w:tc>
          <w:tcPr>
            <w:tcW w:w="1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BB9" w:rsidRPr="009E0DB2" w:rsidRDefault="00C70BB9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 w:rsidRPr="009E0DB2">
              <w:rPr>
                <w:rFonts w:eastAsia="Calibri"/>
                <w:i/>
                <w:lang w:eastAsia="en-US"/>
              </w:rPr>
              <w:t>%</w:t>
            </w:r>
          </w:p>
        </w:tc>
        <w:tc>
          <w:tcPr>
            <w:tcW w:w="10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BB9" w:rsidRPr="009E0DB2" w:rsidRDefault="007230D1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109,19</w:t>
            </w:r>
          </w:p>
        </w:tc>
        <w:tc>
          <w:tcPr>
            <w:tcW w:w="13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BB9" w:rsidRPr="009E0DB2" w:rsidRDefault="007230D1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92,2</w:t>
            </w:r>
          </w:p>
        </w:tc>
        <w:tc>
          <w:tcPr>
            <w:tcW w:w="12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BB9" w:rsidRPr="009E0DB2" w:rsidRDefault="007230D1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94,96</w:t>
            </w:r>
          </w:p>
        </w:tc>
        <w:tc>
          <w:tcPr>
            <w:tcW w:w="1362" w:type="dxa"/>
            <w:vAlign w:val="center"/>
          </w:tcPr>
          <w:p w:rsidR="00C70BB9" w:rsidRPr="009E0DB2" w:rsidRDefault="007230D1" w:rsidP="00B20CE1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2,96</w:t>
            </w:r>
          </w:p>
        </w:tc>
      </w:tr>
      <w:tr w:rsidR="00791C3A" w:rsidRPr="009E0DB2" w:rsidTr="00462308">
        <w:trPr>
          <w:jc w:val="center"/>
        </w:trPr>
        <w:tc>
          <w:tcPr>
            <w:tcW w:w="30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BB9" w:rsidRPr="009E0DB2" w:rsidRDefault="00C70BB9" w:rsidP="00462308">
            <w:pPr>
              <w:widowContro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Оборот общественного питания</w:t>
            </w:r>
          </w:p>
        </w:tc>
        <w:tc>
          <w:tcPr>
            <w:tcW w:w="1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BB9" w:rsidRPr="009E0DB2" w:rsidRDefault="00C70BB9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Тыс. рублей</w:t>
            </w:r>
          </w:p>
        </w:tc>
        <w:tc>
          <w:tcPr>
            <w:tcW w:w="10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BB9" w:rsidRDefault="007230D1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23566,99</w:t>
            </w:r>
          </w:p>
        </w:tc>
        <w:tc>
          <w:tcPr>
            <w:tcW w:w="13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BB9" w:rsidRPr="009E0DB2" w:rsidRDefault="007230D1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58915,57</w:t>
            </w:r>
          </w:p>
        </w:tc>
        <w:tc>
          <w:tcPr>
            <w:tcW w:w="12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BB9" w:rsidRDefault="007230D1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36256,90</w:t>
            </w:r>
          </w:p>
        </w:tc>
        <w:tc>
          <w:tcPr>
            <w:tcW w:w="1362" w:type="dxa"/>
            <w:vAlign w:val="center"/>
          </w:tcPr>
          <w:p w:rsidR="00C70BB9" w:rsidRPr="009E0DB2" w:rsidRDefault="007230D1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-22658,67</w:t>
            </w:r>
          </w:p>
        </w:tc>
      </w:tr>
      <w:tr w:rsidR="00791C3A" w:rsidRPr="009E0DB2" w:rsidTr="00462308">
        <w:trPr>
          <w:jc w:val="center"/>
        </w:trPr>
        <w:tc>
          <w:tcPr>
            <w:tcW w:w="30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BB9" w:rsidRDefault="00C70BB9" w:rsidP="00462308">
            <w:pPr>
              <w:widowControl w:val="0"/>
              <w:rPr>
                <w:i/>
                <w:lang w:eastAsia="en-US"/>
              </w:rPr>
            </w:pPr>
            <w:r w:rsidRPr="009E0DB2">
              <w:rPr>
                <w:i/>
                <w:lang w:eastAsia="en-US"/>
              </w:rPr>
              <w:t>Темп роста в сопоставимых ценах</w:t>
            </w:r>
          </w:p>
        </w:tc>
        <w:tc>
          <w:tcPr>
            <w:tcW w:w="1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BB9" w:rsidRPr="009E0DB2" w:rsidRDefault="00C70BB9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%</w:t>
            </w:r>
          </w:p>
        </w:tc>
        <w:tc>
          <w:tcPr>
            <w:tcW w:w="10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BB9" w:rsidRPr="0016056C" w:rsidRDefault="007230D1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191,75</w:t>
            </w:r>
          </w:p>
        </w:tc>
        <w:tc>
          <w:tcPr>
            <w:tcW w:w="13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BB9" w:rsidRPr="009E0DB2" w:rsidRDefault="007230D1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161,67</w:t>
            </w:r>
          </w:p>
        </w:tc>
        <w:tc>
          <w:tcPr>
            <w:tcW w:w="12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0BB9" w:rsidRDefault="007230D1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100,6</w:t>
            </w:r>
          </w:p>
        </w:tc>
        <w:tc>
          <w:tcPr>
            <w:tcW w:w="1362" w:type="dxa"/>
            <w:vAlign w:val="center"/>
          </w:tcPr>
          <w:p w:rsidR="00C70BB9" w:rsidRPr="009E0DB2" w:rsidRDefault="007230D1" w:rsidP="00B20CE1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-61,07</w:t>
            </w:r>
          </w:p>
        </w:tc>
      </w:tr>
    </w:tbl>
    <w:p w:rsidR="00D60489" w:rsidRDefault="00D60489" w:rsidP="00544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61150A" w:rsidRDefault="005C4077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61150A" w:rsidRPr="00713404">
        <w:rPr>
          <w:rFonts w:ascii="Times New Roman CYR" w:hAnsi="Times New Roman CYR" w:cs="Times New Roman CYR"/>
          <w:b/>
          <w:sz w:val="28"/>
          <w:szCs w:val="28"/>
        </w:rPr>
        <w:t>Жилищно-коммунальное хозяйство</w:t>
      </w:r>
    </w:p>
    <w:p w:rsidR="003032D6" w:rsidRPr="00713404" w:rsidRDefault="003032D6" w:rsidP="003032D6">
      <w:pPr>
        <w:pStyle w:val="a4"/>
        <w:autoSpaceDE w:val="0"/>
        <w:autoSpaceDN w:val="0"/>
        <w:adjustRightInd w:val="0"/>
        <w:ind w:left="927"/>
        <w:rPr>
          <w:rFonts w:ascii="Times New Roman CYR" w:hAnsi="Times New Roman CYR" w:cs="Times New Roman CYR"/>
          <w:b/>
          <w:sz w:val="28"/>
          <w:szCs w:val="28"/>
        </w:rPr>
      </w:pPr>
    </w:p>
    <w:p w:rsidR="004F5370" w:rsidRPr="00CD7679" w:rsidRDefault="004F5370" w:rsidP="006115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713404">
        <w:rPr>
          <w:rFonts w:ascii="Times New Roman CYR" w:hAnsi="Times New Roman CYR" w:cs="Times New Roman CYR"/>
          <w:sz w:val="28"/>
          <w:szCs w:val="28"/>
        </w:rPr>
        <w:t xml:space="preserve">Общая площадь жилищного фонда города </w:t>
      </w:r>
      <w:r w:rsidR="00963506" w:rsidRPr="00713404">
        <w:rPr>
          <w:rFonts w:ascii="Times New Roman CYR" w:hAnsi="Times New Roman CYR" w:cs="Times New Roman CYR"/>
          <w:sz w:val="28"/>
          <w:szCs w:val="28"/>
        </w:rPr>
        <w:t xml:space="preserve">Боготола составляет </w:t>
      </w:r>
      <w:r w:rsidR="003032D6">
        <w:rPr>
          <w:rFonts w:ascii="Times New Roman CYR" w:hAnsi="Times New Roman CYR" w:cs="Times New Roman CYR"/>
          <w:sz w:val="28"/>
          <w:szCs w:val="28"/>
        </w:rPr>
        <w:t>52</w:t>
      </w:r>
      <w:r w:rsidR="007230D1">
        <w:rPr>
          <w:rFonts w:ascii="Times New Roman CYR" w:hAnsi="Times New Roman CYR" w:cs="Times New Roman CYR"/>
          <w:sz w:val="28"/>
          <w:szCs w:val="28"/>
        </w:rPr>
        <w:t>7</w:t>
      </w:r>
      <w:r w:rsidR="00635A29">
        <w:rPr>
          <w:rFonts w:ascii="Times New Roman CYR" w:hAnsi="Times New Roman CYR" w:cs="Times New Roman CYR"/>
          <w:sz w:val="28"/>
          <w:szCs w:val="28"/>
        </w:rPr>
        <w:t>,</w:t>
      </w:r>
      <w:r w:rsidR="007230D1">
        <w:rPr>
          <w:rFonts w:ascii="Times New Roman CYR" w:hAnsi="Times New Roman CYR" w:cs="Times New Roman CYR"/>
          <w:sz w:val="28"/>
          <w:szCs w:val="28"/>
        </w:rPr>
        <w:t>3</w:t>
      </w:r>
      <w:r w:rsidRPr="00713404">
        <w:rPr>
          <w:rFonts w:ascii="Times New Roman CYR" w:hAnsi="Times New Roman CYR" w:cs="Times New Roman CYR"/>
          <w:sz w:val="28"/>
          <w:szCs w:val="28"/>
        </w:rPr>
        <w:t xml:space="preserve"> тыс. кв.м</w:t>
      </w:r>
      <w:r w:rsidR="00635A29">
        <w:rPr>
          <w:rFonts w:ascii="Times New Roman CYR" w:hAnsi="Times New Roman CYR" w:cs="Times New Roman CYR"/>
          <w:sz w:val="28"/>
          <w:szCs w:val="28"/>
        </w:rPr>
        <w:t>.</w:t>
      </w:r>
      <w:r w:rsidRPr="00713404">
        <w:rPr>
          <w:rFonts w:ascii="Times New Roman CYR" w:hAnsi="Times New Roman CYR" w:cs="Times New Roman CYR"/>
          <w:sz w:val="28"/>
          <w:szCs w:val="28"/>
        </w:rPr>
        <w:t xml:space="preserve">, из них </w:t>
      </w:r>
      <w:r w:rsidR="00635A29">
        <w:rPr>
          <w:rFonts w:ascii="Times New Roman CYR" w:hAnsi="Times New Roman CYR" w:cs="Times New Roman CYR"/>
          <w:sz w:val="28"/>
          <w:szCs w:val="28"/>
        </w:rPr>
        <w:t>0,</w:t>
      </w:r>
      <w:r w:rsidR="007230D1">
        <w:rPr>
          <w:rFonts w:ascii="Times New Roman CYR" w:hAnsi="Times New Roman CYR" w:cs="Times New Roman CYR"/>
          <w:sz w:val="28"/>
          <w:szCs w:val="28"/>
        </w:rPr>
        <w:t>5</w:t>
      </w:r>
      <w:r w:rsidR="00635A29">
        <w:rPr>
          <w:rFonts w:ascii="Times New Roman CYR" w:hAnsi="Times New Roman CYR" w:cs="Times New Roman CYR"/>
          <w:sz w:val="28"/>
          <w:szCs w:val="28"/>
        </w:rPr>
        <w:t xml:space="preserve"> тыс. кв. м – находится в государственной собственности, </w:t>
      </w:r>
      <w:r w:rsidR="00394C63">
        <w:rPr>
          <w:rFonts w:ascii="Times New Roman CYR" w:hAnsi="Times New Roman CYR" w:cs="Times New Roman CYR"/>
          <w:sz w:val="28"/>
          <w:szCs w:val="28"/>
        </w:rPr>
        <w:t>34,3</w:t>
      </w:r>
      <w:r w:rsidR="00635A29">
        <w:rPr>
          <w:rFonts w:ascii="Times New Roman CYR" w:hAnsi="Times New Roman CYR" w:cs="Times New Roman CYR"/>
          <w:sz w:val="28"/>
          <w:szCs w:val="28"/>
        </w:rPr>
        <w:t xml:space="preserve"> тыс. кв. м составляет муниципальный жилищный фонд и </w:t>
      </w:r>
      <w:r w:rsidR="00394C63">
        <w:rPr>
          <w:rFonts w:ascii="Times New Roman CYR" w:hAnsi="Times New Roman CYR" w:cs="Times New Roman CYR"/>
          <w:sz w:val="28"/>
          <w:szCs w:val="28"/>
        </w:rPr>
        <w:t>492,0</w:t>
      </w:r>
      <w:r w:rsidR="00635A29">
        <w:rPr>
          <w:rFonts w:ascii="Times New Roman CYR" w:hAnsi="Times New Roman CYR" w:cs="Times New Roman CYR"/>
          <w:sz w:val="28"/>
          <w:szCs w:val="28"/>
        </w:rPr>
        <w:t xml:space="preserve"> тыс.кв.м. частный жилищный фонд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61150A" w:rsidRPr="00FC0A2D" w:rsidRDefault="0061150A" w:rsidP="006115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C0A2D">
        <w:rPr>
          <w:rFonts w:ascii="Times New Roman CYR" w:hAnsi="Times New Roman CYR" w:cs="Times New Roman CYR"/>
          <w:sz w:val="28"/>
          <w:szCs w:val="28"/>
          <w:u w:color="FF0000"/>
        </w:rPr>
        <w:t xml:space="preserve">Общая сумма доходов от реализации жилищно-коммунальных услуг организаций, оказывающих жилищно-коммунальные услуги, с учетом финансирования из бюджетов всех уровней за </w:t>
      </w:r>
      <w:r w:rsidR="00D14679">
        <w:rPr>
          <w:rFonts w:ascii="Times New Roman CYR" w:hAnsi="Times New Roman CYR" w:cs="Times New Roman CYR"/>
          <w:sz w:val="28"/>
          <w:szCs w:val="28"/>
          <w:u w:color="FF0000"/>
        </w:rPr>
        <w:t xml:space="preserve">1-е </w:t>
      </w:r>
      <w:r w:rsidR="00635A29">
        <w:rPr>
          <w:rFonts w:ascii="Times New Roman CYR" w:hAnsi="Times New Roman CYR" w:cs="Times New Roman CYR"/>
          <w:sz w:val="28"/>
          <w:szCs w:val="28"/>
          <w:u w:color="FF0000"/>
        </w:rPr>
        <w:t>полугодие 202</w:t>
      </w:r>
      <w:r w:rsidR="00394C63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Pr="00FC0A2D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 составила </w:t>
      </w:r>
      <w:r w:rsidR="00394C63">
        <w:rPr>
          <w:rFonts w:ascii="Times New Roman CYR" w:hAnsi="Times New Roman CYR" w:cs="Times New Roman CYR"/>
          <w:sz w:val="28"/>
          <w:szCs w:val="28"/>
          <w:u w:color="FF0000"/>
        </w:rPr>
        <w:t>275 256,50</w:t>
      </w:r>
      <w:r w:rsidRPr="00FC0A2D">
        <w:rPr>
          <w:rFonts w:ascii="Times New Roman CYR" w:hAnsi="Times New Roman CYR" w:cs="Times New Roman CYR"/>
          <w:sz w:val="28"/>
          <w:szCs w:val="28"/>
          <w:u w:color="FF0000"/>
        </w:rPr>
        <w:t xml:space="preserve"> тыс. руб.</w:t>
      </w:r>
      <w:r w:rsidR="005F24F7" w:rsidRPr="00FC0A2D">
        <w:rPr>
          <w:rFonts w:ascii="Times New Roman CYR" w:hAnsi="Times New Roman CYR" w:cs="Times New Roman CYR"/>
          <w:sz w:val="28"/>
          <w:szCs w:val="28"/>
          <w:u w:color="FF0000"/>
        </w:rPr>
        <w:t xml:space="preserve">, уровень собираемости платежей за предоставленные жилищно-коммунальные услуги составил </w:t>
      </w:r>
      <w:r w:rsidR="00394C63">
        <w:rPr>
          <w:rFonts w:ascii="Times New Roman CYR" w:hAnsi="Times New Roman CYR" w:cs="Times New Roman CYR"/>
          <w:sz w:val="28"/>
          <w:szCs w:val="28"/>
          <w:u w:color="FF0000"/>
        </w:rPr>
        <w:t>94,9</w:t>
      </w:r>
      <w:r w:rsidR="005F24F7" w:rsidRPr="00FC0A2D">
        <w:rPr>
          <w:rFonts w:ascii="Times New Roman CYR" w:hAnsi="Times New Roman CYR" w:cs="Times New Roman CYR"/>
          <w:sz w:val="28"/>
          <w:szCs w:val="28"/>
          <w:u w:color="FF0000"/>
        </w:rPr>
        <w:t>%. Прогнозные значения не отклоняются от намеченных годовых оценочных показателей 20</w:t>
      </w:r>
      <w:r w:rsidR="00635A29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394C63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5F24F7" w:rsidRPr="00FC0A2D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года. </w:t>
      </w:r>
    </w:p>
    <w:p w:rsidR="005F24F7" w:rsidRDefault="005F24F7" w:rsidP="006115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proofErr w:type="gramStart"/>
      <w:r w:rsidRPr="00FC0A2D">
        <w:rPr>
          <w:rFonts w:ascii="Times New Roman CYR" w:hAnsi="Times New Roman CYR" w:cs="Times New Roman CYR"/>
          <w:sz w:val="28"/>
          <w:szCs w:val="28"/>
          <w:u w:color="FF0000"/>
        </w:rPr>
        <w:t>Уровень возмещения населением затрат за предоставление жилищно-коммунальных услуг по установленным для населения тариф</w:t>
      </w:r>
      <w:r w:rsidR="00635A29">
        <w:rPr>
          <w:rFonts w:ascii="Times New Roman CYR" w:hAnsi="Times New Roman CYR" w:cs="Times New Roman CYR"/>
          <w:sz w:val="28"/>
          <w:szCs w:val="28"/>
          <w:u w:color="FF0000"/>
        </w:rPr>
        <w:t>ам составил за январь – июнь 202</w:t>
      </w:r>
      <w:r w:rsidR="00394C63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D84BA8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</w:t>
      </w:r>
      <w:r w:rsidRPr="00FC0A2D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394C63">
        <w:rPr>
          <w:rFonts w:ascii="Times New Roman CYR" w:hAnsi="Times New Roman CYR" w:cs="Times New Roman CYR"/>
          <w:sz w:val="28"/>
          <w:szCs w:val="28"/>
          <w:u w:color="FF0000"/>
        </w:rPr>
        <w:t>98</w:t>
      </w:r>
      <w:r w:rsidR="003032D6">
        <w:rPr>
          <w:rFonts w:ascii="Times New Roman CYR" w:hAnsi="Times New Roman CYR" w:cs="Times New Roman CYR"/>
          <w:sz w:val="28"/>
          <w:szCs w:val="28"/>
          <w:u w:color="FF0000"/>
        </w:rPr>
        <w:t>,4</w:t>
      </w:r>
      <w:r w:rsidRPr="00FC0A2D">
        <w:rPr>
          <w:rFonts w:ascii="Times New Roman CYR" w:hAnsi="Times New Roman CYR" w:cs="Times New Roman CYR"/>
          <w:sz w:val="28"/>
          <w:szCs w:val="28"/>
          <w:u w:color="FF0000"/>
        </w:rPr>
        <w:t>%, оц</w:t>
      </w:r>
      <w:r w:rsidR="003032D6">
        <w:rPr>
          <w:rFonts w:ascii="Times New Roman CYR" w:hAnsi="Times New Roman CYR" w:cs="Times New Roman CYR"/>
          <w:sz w:val="28"/>
          <w:szCs w:val="28"/>
          <w:u w:color="FF0000"/>
        </w:rPr>
        <w:t>еночный показатель 202</w:t>
      </w:r>
      <w:r w:rsidR="00394C63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Pr="00FC0A2D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 составил </w:t>
      </w:r>
      <w:r w:rsidR="00394C63">
        <w:rPr>
          <w:rFonts w:ascii="Times New Roman CYR" w:hAnsi="Times New Roman CYR" w:cs="Times New Roman CYR"/>
          <w:sz w:val="28"/>
          <w:szCs w:val="28"/>
          <w:u w:color="FF0000"/>
        </w:rPr>
        <w:t>98</w:t>
      </w:r>
      <w:r w:rsidR="003032D6">
        <w:rPr>
          <w:rFonts w:ascii="Times New Roman CYR" w:hAnsi="Times New Roman CYR" w:cs="Times New Roman CYR"/>
          <w:sz w:val="28"/>
          <w:szCs w:val="28"/>
          <w:u w:color="FF0000"/>
        </w:rPr>
        <w:t>,4</w:t>
      </w:r>
      <w:r w:rsidRPr="00FC0A2D">
        <w:rPr>
          <w:rFonts w:ascii="Times New Roman CYR" w:hAnsi="Times New Roman CYR" w:cs="Times New Roman CYR"/>
          <w:sz w:val="28"/>
          <w:szCs w:val="28"/>
          <w:u w:color="FF0000"/>
        </w:rPr>
        <w:t>%</w:t>
      </w:r>
      <w:r w:rsidR="001921A6" w:rsidRPr="00FC0A2D">
        <w:rPr>
          <w:rFonts w:ascii="Times New Roman CYR" w:hAnsi="Times New Roman CYR" w:cs="Times New Roman CYR"/>
          <w:sz w:val="28"/>
          <w:szCs w:val="28"/>
          <w:u w:color="FF0000"/>
        </w:rPr>
        <w:t>.  По результатам 1</w:t>
      </w:r>
      <w:r w:rsidR="00D14679">
        <w:rPr>
          <w:rFonts w:ascii="Times New Roman CYR" w:hAnsi="Times New Roman CYR" w:cs="Times New Roman CYR"/>
          <w:sz w:val="28"/>
          <w:szCs w:val="28"/>
          <w:u w:color="FF0000"/>
        </w:rPr>
        <w:t>-го</w:t>
      </w:r>
      <w:r w:rsidR="001921A6" w:rsidRPr="00FC0A2D">
        <w:rPr>
          <w:rFonts w:ascii="Times New Roman CYR" w:hAnsi="Times New Roman CYR" w:cs="Times New Roman CYR"/>
          <w:sz w:val="28"/>
          <w:szCs w:val="28"/>
          <w:u w:color="FF0000"/>
        </w:rPr>
        <w:t xml:space="preserve"> полугодия текущего года, предположительно изменение данного </w:t>
      </w:r>
      <w:r w:rsidR="00EC136D" w:rsidRPr="00FC0A2D">
        <w:rPr>
          <w:rFonts w:ascii="Times New Roman CYR" w:hAnsi="Times New Roman CYR" w:cs="Times New Roman CYR"/>
          <w:sz w:val="28"/>
          <w:szCs w:val="28"/>
          <w:u w:color="FF0000"/>
        </w:rPr>
        <w:t>показателя в ст</w:t>
      </w:r>
      <w:r w:rsidR="00D84BA8">
        <w:rPr>
          <w:rFonts w:ascii="Times New Roman CYR" w:hAnsi="Times New Roman CYR" w:cs="Times New Roman CYR"/>
          <w:sz w:val="28"/>
          <w:szCs w:val="28"/>
          <w:u w:color="FF0000"/>
        </w:rPr>
        <w:t xml:space="preserve">орону увеличения за счет роста </w:t>
      </w:r>
      <w:r w:rsidR="00EC136D" w:rsidRPr="00FC0A2D">
        <w:rPr>
          <w:rFonts w:ascii="Times New Roman CYR" w:hAnsi="Times New Roman CYR" w:cs="Times New Roman CYR"/>
          <w:sz w:val="28"/>
          <w:szCs w:val="28"/>
          <w:u w:color="FF0000"/>
        </w:rPr>
        <w:t>обратившихся граждан за предоставлением жилищно-коммунальной субсидии.</w:t>
      </w:r>
      <w:proofErr w:type="gramEnd"/>
    </w:p>
    <w:p w:rsidR="006624E7" w:rsidRPr="00713404" w:rsidRDefault="006624E7" w:rsidP="006624E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6624E7" w:rsidRPr="00713404" w:rsidRDefault="005C4077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  <w:u w:color="FF0000"/>
        </w:rPr>
      </w:pPr>
      <w:r w:rsidRPr="00713404">
        <w:rPr>
          <w:rFonts w:ascii="Times New Roman CYR" w:hAnsi="Times New Roman CYR" w:cs="Times New Roman CYR"/>
          <w:b/>
          <w:sz w:val="28"/>
          <w:szCs w:val="28"/>
          <w:u w:color="FF0000"/>
        </w:rPr>
        <w:t xml:space="preserve"> </w:t>
      </w:r>
      <w:r w:rsidR="006624E7" w:rsidRPr="00713404">
        <w:rPr>
          <w:rFonts w:ascii="Times New Roman CYR" w:hAnsi="Times New Roman CYR" w:cs="Times New Roman CYR"/>
          <w:b/>
          <w:sz w:val="28"/>
          <w:szCs w:val="28"/>
          <w:u w:color="FF0000"/>
        </w:rPr>
        <w:t>Платные услуги населению</w:t>
      </w:r>
    </w:p>
    <w:p w:rsidR="003B5D6B" w:rsidRPr="00713404" w:rsidRDefault="003B5D6B" w:rsidP="006624E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sz w:val="28"/>
          <w:szCs w:val="28"/>
          <w:u w:color="FF0000"/>
        </w:rPr>
      </w:pPr>
    </w:p>
    <w:p w:rsidR="002676BB" w:rsidRDefault="002B2CBC" w:rsidP="006624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6624E7" w:rsidRPr="00713404">
        <w:rPr>
          <w:rFonts w:ascii="Times New Roman CYR" w:hAnsi="Times New Roman CYR" w:cs="Times New Roman CYR"/>
          <w:sz w:val="28"/>
          <w:szCs w:val="28"/>
        </w:rPr>
        <w:t xml:space="preserve">Объем платных услуг, оказанных населению в </w:t>
      </w:r>
      <w:r w:rsidR="00365107" w:rsidRPr="00713404">
        <w:rPr>
          <w:rFonts w:ascii="Times New Roman CYR" w:hAnsi="Times New Roman CYR" w:cs="Times New Roman CYR"/>
          <w:sz w:val="28"/>
          <w:szCs w:val="28"/>
        </w:rPr>
        <w:t>1</w:t>
      </w:r>
      <w:r w:rsidR="00675A51">
        <w:rPr>
          <w:rFonts w:ascii="Times New Roman CYR" w:hAnsi="Times New Roman CYR" w:cs="Times New Roman CYR"/>
          <w:sz w:val="28"/>
          <w:szCs w:val="28"/>
        </w:rPr>
        <w:t>-м</w:t>
      </w:r>
      <w:r w:rsidR="00365107" w:rsidRPr="00713404">
        <w:rPr>
          <w:rFonts w:ascii="Times New Roman CYR" w:hAnsi="Times New Roman CYR" w:cs="Times New Roman CYR"/>
          <w:sz w:val="28"/>
          <w:szCs w:val="28"/>
        </w:rPr>
        <w:t xml:space="preserve"> полугодии </w:t>
      </w:r>
      <w:r w:rsidR="00B30FF2">
        <w:rPr>
          <w:rFonts w:ascii="Times New Roman CYR" w:hAnsi="Times New Roman CYR" w:cs="Times New Roman CYR"/>
          <w:sz w:val="28"/>
          <w:szCs w:val="28"/>
        </w:rPr>
        <w:t>202</w:t>
      </w:r>
      <w:r w:rsidR="00394C63">
        <w:rPr>
          <w:rFonts w:ascii="Times New Roman CYR" w:hAnsi="Times New Roman CYR" w:cs="Times New Roman CYR"/>
          <w:sz w:val="28"/>
          <w:szCs w:val="28"/>
        </w:rPr>
        <w:t>2</w:t>
      </w:r>
      <w:r w:rsidR="006624E7" w:rsidRPr="00713404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365107" w:rsidRPr="00713404">
        <w:rPr>
          <w:rFonts w:ascii="Times New Roman CYR" w:hAnsi="Times New Roman CYR" w:cs="Times New Roman CYR"/>
          <w:sz w:val="28"/>
          <w:szCs w:val="28"/>
        </w:rPr>
        <w:t>а</w:t>
      </w:r>
      <w:r w:rsidR="003032D6">
        <w:rPr>
          <w:rFonts w:ascii="Times New Roman CYR" w:hAnsi="Times New Roman CYR" w:cs="Times New Roman CYR"/>
          <w:sz w:val="28"/>
          <w:szCs w:val="28"/>
        </w:rPr>
        <w:t>,</w:t>
      </w:r>
      <w:r w:rsidR="006624E7" w:rsidRPr="00713404">
        <w:rPr>
          <w:rFonts w:ascii="Times New Roman CYR" w:hAnsi="Times New Roman CYR" w:cs="Times New Roman CYR"/>
          <w:sz w:val="28"/>
          <w:szCs w:val="28"/>
        </w:rPr>
        <w:t xml:space="preserve"> составил </w:t>
      </w:r>
      <w:r w:rsidR="00394C63">
        <w:rPr>
          <w:rFonts w:ascii="Times New Roman CYR" w:hAnsi="Times New Roman CYR" w:cs="Times New Roman CYR"/>
          <w:sz w:val="28"/>
          <w:szCs w:val="28"/>
        </w:rPr>
        <w:t>232 857,31</w:t>
      </w:r>
      <w:r w:rsidR="006624E7" w:rsidRPr="00713404">
        <w:rPr>
          <w:rFonts w:ascii="Times New Roman CYR" w:hAnsi="Times New Roman CYR" w:cs="Times New Roman CYR"/>
          <w:sz w:val="28"/>
          <w:szCs w:val="28"/>
        </w:rPr>
        <w:t xml:space="preserve"> тыс.</w:t>
      </w:r>
      <w:r w:rsidR="006624E7">
        <w:rPr>
          <w:rFonts w:ascii="Times New Roman CYR" w:hAnsi="Times New Roman CYR" w:cs="Times New Roman CYR"/>
          <w:sz w:val="28"/>
          <w:szCs w:val="28"/>
        </w:rPr>
        <w:t xml:space="preserve"> рублей, </w:t>
      </w:r>
      <w:r w:rsidR="00365107">
        <w:rPr>
          <w:rFonts w:ascii="Times New Roman CYR" w:hAnsi="Times New Roman CYR" w:cs="Times New Roman CYR"/>
          <w:sz w:val="28"/>
          <w:szCs w:val="28"/>
        </w:rPr>
        <w:t>т</w:t>
      </w:r>
      <w:r w:rsidR="00365107" w:rsidRPr="00365107">
        <w:rPr>
          <w:rFonts w:ascii="Times New Roman CYR" w:hAnsi="Times New Roman CYR" w:cs="Times New Roman CYR"/>
          <w:sz w:val="28"/>
          <w:szCs w:val="28"/>
        </w:rPr>
        <w:t>емп роста объема платных услуг, оказанных населению в сопоставимых ценах, к соответствующему периоду предыдущего года</w:t>
      </w:r>
      <w:r w:rsidR="00365107">
        <w:rPr>
          <w:rFonts w:ascii="Times New Roman CYR" w:hAnsi="Times New Roman CYR" w:cs="Times New Roman CYR"/>
          <w:sz w:val="28"/>
          <w:szCs w:val="28"/>
        </w:rPr>
        <w:t xml:space="preserve"> – </w:t>
      </w:r>
      <w:r w:rsidR="00394C63">
        <w:rPr>
          <w:rFonts w:ascii="Times New Roman CYR" w:hAnsi="Times New Roman CYR" w:cs="Times New Roman CYR"/>
          <w:sz w:val="28"/>
          <w:szCs w:val="28"/>
        </w:rPr>
        <w:t>90,62</w:t>
      </w:r>
      <w:r w:rsidR="00365107">
        <w:rPr>
          <w:rFonts w:ascii="Times New Roman CYR" w:hAnsi="Times New Roman CYR" w:cs="Times New Roman CYR"/>
          <w:sz w:val="28"/>
          <w:szCs w:val="28"/>
        </w:rPr>
        <w:t>%</w:t>
      </w:r>
      <w:r w:rsidR="006624E7">
        <w:rPr>
          <w:rFonts w:ascii="Times New Roman CYR" w:hAnsi="Times New Roman CYR" w:cs="Times New Roman CYR"/>
          <w:sz w:val="28"/>
          <w:szCs w:val="28"/>
        </w:rPr>
        <w:t xml:space="preserve">.  </w:t>
      </w:r>
      <w:r w:rsidR="00B30FF2">
        <w:rPr>
          <w:rFonts w:ascii="Times New Roman CYR" w:hAnsi="Times New Roman CYR" w:cs="Times New Roman CYR"/>
          <w:sz w:val="28"/>
          <w:szCs w:val="28"/>
          <w:u w:color="FF0000"/>
        </w:rPr>
        <w:t xml:space="preserve">Наибольший объем расходов населения на услуги приходится на </w:t>
      </w:r>
      <w:r w:rsidR="003032D6">
        <w:rPr>
          <w:rFonts w:ascii="Times New Roman CYR" w:hAnsi="Times New Roman CYR" w:cs="Times New Roman CYR"/>
          <w:color w:val="000000"/>
          <w:sz w:val="28"/>
          <w:szCs w:val="28"/>
        </w:rPr>
        <w:t>платные коммунальные, жилищные, медицинские, социальные и образовательные услуги.</w:t>
      </w:r>
    </w:p>
    <w:p w:rsidR="00E46002" w:rsidRDefault="00E46002" w:rsidP="00E460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оценке 202</w:t>
      </w:r>
      <w:r w:rsidR="00394C63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года объем платных услуг населению составит </w:t>
      </w:r>
      <w:r w:rsidR="00394C63">
        <w:rPr>
          <w:rFonts w:ascii="Times New Roman CYR" w:hAnsi="Times New Roman CYR" w:cs="Times New Roman CYR"/>
          <w:sz w:val="28"/>
          <w:szCs w:val="28"/>
        </w:rPr>
        <w:t>517 460,69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рублей, что в с</w:t>
      </w:r>
      <w:r w:rsidR="00394C63">
        <w:rPr>
          <w:rFonts w:ascii="Times New Roman CYR" w:hAnsi="Times New Roman CYR" w:cs="Times New Roman CYR"/>
          <w:sz w:val="28"/>
          <w:szCs w:val="28"/>
        </w:rPr>
        <w:t>опоставимых ценах составляет 91,7</w:t>
      </w:r>
      <w:r>
        <w:rPr>
          <w:rFonts w:ascii="Times New Roman CYR" w:hAnsi="Times New Roman CYR" w:cs="Times New Roman CYR"/>
          <w:sz w:val="28"/>
          <w:szCs w:val="28"/>
        </w:rPr>
        <w:t xml:space="preserve">% к уровню 2020 года. В прогнозируемом периоде темпы роста платных услуг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населению составят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c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202</w:t>
      </w:r>
      <w:r w:rsidR="00394C63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по 202</w:t>
      </w:r>
      <w:r w:rsidR="00394C63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 годы в среднем 102,</w:t>
      </w:r>
      <w:r w:rsidR="00394C63">
        <w:rPr>
          <w:rFonts w:ascii="Times New Roman CYR" w:hAnsi="Times New Roman CYR" w:cs="Times New Roman CYR"/>
          <w:sz w:val="28"/>
          <w:szCs w:val="28"/>
        </w:rPr>
        <w:t>8</w:t>
      </w:r>
      <w:r>
        <w:rPr>
          <w:rFonts w:ascii="Times New Roman CYR" w:hAnsi="Times New Roman CYR" w:cs="Times New Roman CYR"/>
          <w:sz w:val="28"/>
          <w:szCs w:val="28"/>
        </w:rPr>
        <w:t xml:space="preserve">%, соответственно. </w:t>
      </w:r>
      <w:r w:rsidR="00394C63">
        <w:rPr>
          <w:rFonts w:ascii="Times New Roman CYR" w:hAnsi="Times New Roman CYR" w:cs="Times New Roman CYR"/>
          <w:sz w:val="28"/>
          <w:szCs w:val="28"/>
        </w:rPr>
        <w:t xml:space="preserve">Такой рост обусловлен сокращением мер, направленных на предупреждение распространения коронавирусной инфекции, к </w:t>
      </w:r>
      <w:r>
        <w:rPr>
          <w:rFonts w:ascii="Times New Roman CYR" w:hAnsi="Times New Roman CYR" w:cs="Times New Roman CYR"/>
          <w:sz w:val="28"/>
          <w:szCs w:val="28"/>
        </w:rPr>
        <w:t>организациям, относящимся к пострадавшим отраслям в период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локдауна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» 2020 года. </w:t>
      </w:r>
    </w:p>
    <w:p w:rsidR="00394C63" w:rsidRDefault="00E46002" w:rsidP="00394C63">
      <w:pPr>
        <w:autoSpaceDE w:val="0"/>
        <w:autoSpaceDN w:val="0"/>
        <w:adjustRightInd w:val="0"/>
        <w:spacing w:after="0" w:line="240" w:lineRule="auto"/>
        <w:ind w:left="140" w:firstLine="58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>Несмотря на различные тенденции развития отдельных видов услуг, в 202</w:t>
      </w:r>
      <w:r w:rsidR="00394C63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>-202</w:t>
      </w:r>
      <w:r w:rsidR="00394C63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 годах не произойдет значительного изменения их структуры (в фактических ценах). </w:t>
      </w:r>
      <w:r w:rsidR="00394C63">
        <w:rPr>
          <w:rFonts w:ascii="Times New Roman CYR" w:hAnsi="Times New Roman CYR" w:cs="Times New Roman CYR"/>
          <w:sz w:val="28"/>
          <w:szCs w:val="28"/>
        </w:rPr>
        <w:t>По-прежнему более 80% от общего объема расходов населения на услуги будет приходиться на «обязательные» услуги.</w:t>
      </w:r>
    </w:p>
    <w:p w:rsidR="00E46002" w:rsidRDefault="00E46002" w:rsidP="00E460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37356" w:rsidRPr="00D56A38" w:rsidRDefault="005C4077" w:rsidP="00D56A38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  <w:u w:color="FF0000"/>
        </w:rPr>
      </w:pPr>
      <w:r w:rsidRPr="00D56A38">
        <w:rPr>
          <w:rFonts w:ascii="Times New Roman CYR" w:hAnsi="Times New Roman CYR" w:cs="Times New Roman CYR"/>
          <w:b/>
          <w:sz w:val="28"/>
          <w:szCs w:val="28"/>
          <w:u w:color="FF0000"/>
        </w:rPr>
        <w:t xml:space="preserve"> </w:t>
      </w:r>
      <w:r w:rsidR="00B37356" w:rsidRPr="00D56A38">
        <w:rPr>
          <w:rFonts w:ascii="Times New Roman CYR" w:hAnsi="Times New Roman CYR" w:cs="Times New Roman CYR"/>
          <w:b/>
          <w:sz w:val="28"/>
          <w:szCs w:val="28"/>
          <w:u w:color="FF0000"/>
        </w:rPr>
        <w:t>Уровень жизни населения</w:t>
      </w:r>
    </w:p>
    <w:p w:rsidR="00B37356" w:rsidRPr="00713404" w:rsidRDefault="00B37356" w:rsidP="00B3735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B37356" w:rsidRPr="00A06618" w:rsidRDefault="00D147B1" w:rsidP="001C00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713404">
        <w:rPr>
          <w:rFonts w:ascii="Times New Roman CYR" w:hAnsi="Times New Roman CYR" w:cs="Times New Roman CYR"/>
          <w:sz w:val="28"/>
          <w:szCs w:val="28"/>
        </w:rPr>
        <w:t xml:space="preserve">По итогам </w:t>
      </w:r>
      <w:r w:rsidR="00137E32">
        <w:rPr>
          <w:rFonts w:ascii="Times New Roman CYR" w:hAnsi="Times New Roman CYR" w:cs="Times New Roman CYR"/>
          <w:sz w:val="28"/>
          <w:szCs w:val="28"/>
        </w:rPr>
        <w:t>1-</w:t>
      </w:r>
      <w:r w:rsidRPr="00713404">
        <w:rPr>
          <w:rFonts w:ascii="Times New Roman CYR" w:hAnsi="Times New Roman CYR" w:cs="Times New Roman CYR"/>
          <w:sz w:val="28"/>
          <w:szCs w:val="28"/>
        </w:rPr>
        <w:t>го</w:t>
      </w:r>
      <w:r>
        <w:rPr>
          <w:rFonts w:ascii="Times New Roman CYR" w:hAnsi="Times New Roman CYR" w:cs="Times New Roman CYR"/>
          <w:sz w:val="28"/>
          <w:szCs w:val="28"/>
        </w:rPr>
        <w:t xml:space="preserve"> полугодия 20</w:t>
      </w:r>
      <w:r w:rsidR="00B30FF2">
        <w:rPr>
          <w:rFonts w:ascii="Times New Roman CYR" w:hAnsi="Times New Roman CYR" w:cs="Times New Roman CYR"/>
          <w:sz w:val="28"/>
          <w:szCs w:val="28"/>
        </w:rPr>
        <w:t>2</w:t>
      </w:r>
      <w:r w:rsidR="00394C63">
        <w:rPr>
          <w:rFonts w:ascii="Times New Roman CYR" w:hAnsi="Times New Roman CYR" w:cs="Times New Roman CYR"/>
          <w:sz w:val="28"/>
          <w:szCs w:val="28"/>
        </w:rPr>
        <w:t>2</w:t>
      </w:r>
      <w:r w:rsidR="00B37356" w:rsidRPr="00A06618">
        <w:rPr>
          <w:rFonts w:ascii="Times New Roman CYR" w:hAnsi="Times New Roman CYR" w:cs="Times New Roman CYR"/>
          <w:sz w:val="28"/>
          <w:szCs w:val="28"/>
        </w:rPr>
        <w:t xml:space="preserve"> года на территории города Боготола среднедушевой месячный денежный доход составил </w:t>
      </w:r>
      <w:r w:rsidR="00394C63">
        <w:rPr>
          <w:rFonts w:ascii="Times New Roman CYR" w:hAnsi="Times New Roman CYR" w:cs="Times New Roman CYR"/>
          <w:sz w:val="28"/>
          <w:szCs w:val="28"/>
        </w:rPr>
        <w:t>24 899</w:t>
      </w:r>
      <w:r>
        <w:rPr>
          <w:rFonts w:ascii="Times New Roman CYR" w:hAnsi="Times New Roman CYR" w:cs="Times New Roman CYR"/>
          <w:sz w:val="28"/>
          <w:szCs w:val="28"/>
        </w:rPr>
        <w:t>,00</w:t>
      </w:r>
      <w:r w:rsidR="00B37356" w:rsidRPr="00A06618">
        <w:rPr>
          <w:rFonts w:ascii="Times New Roman CYR" w:hAnsi="Times New Roman CYR" w:cs="Times New Roman CYR"/>
          <w:sz w:val="28"/>
          <w:szCs w:val="28"/>
        </w:rPr>
        <w:t xml:space="preserve"> руб., темп роста среднедушевого денежного дохода номинальный составил </w:t>
      </w:r>
      <w:r w:rsidR="00394C63">
        <w:rPr>
          <w:rFonts w:ascii="Times New Roman CYR" w:hAnsi="Times New Roman CYR" w:cs="Times New Roman CYR"/>
          <w:sz w:val="28"/>
          <w:szCs w:val="28"/>
        </w:rPr>
        <w:t>111,10</w:t>
      </w:r>
      <w:r w:rsidR="00B37356" w:rsidRPr="00A06618">
        <w:rPr>
          <w:rFonts w:ascii="Times New Roman CYR" w:hAnsi="Times New Roman CYR" w:cs="Times New Roman CYR"/>
          <w:sz w:val="28"/>
          <w:szCs w:val="28"/>
        </w:rPr>
        <w:t xml:space="preserve"> %, реальный </w:t>
      </w:r>
      <w:r>
        <w:rPr>
          <w:rFonts w:ascii="Times New Roman CYR" w:hAnsi="Times New Roman CYR" w:cs="Times New Roman CYR"/>
          <w:sz w:val="28"/>
          <w:szCs w:val="28"/>
        </w:rPr>
        <w:t>–</w:t>
      </w:r>
      <w:r w:rsidR="00B37356" w:rsidRPr="00A0661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94C63">
        <w:rPr>
          <w:rFonts w:ascii="Times New Roman CYR" w:hAnsi="Times New Roman CYR" w:cs="Times New Roman CYR"/>
          <w:sz w:val="28"/>
          <w:szCs w:val="28"/>
        </w:rPr>
        <w:t>95,2</w:t>
      </w:r>
      <w:r w:rsidR="00B37356" w:rsidRPr="00A06618">
        <w:rPr>
          <w:rFonts w:ascii="Times New Roman CYR" w:hAnsi="Times New Roman CYR" w:cs="Times New Roman CYR"/>
          <w:sz w:val="28"/>
          <w:szCs w:val="28"/>
        </w:rPr>
        <w:t xml:space="preserve"> %.</w:t>
      </w:r>
    </w:p>
    <w:p w:rsidR="00B37356" w:rsidRDefault="00B37356" w:rsidP="0024727F">
      <w:pPr>
        <w:autoSpaceDE w:val="0"/>
        <w:autoSpaceDN w:val="0"/>
        <w:adjustRightInd w:val="0"/>
        <w:spacing w:after="0" w:line="240" w:lineRule="auto"/>
        <w:ind w:left="60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A06618">
        <w:rPr>
          <w:rFonts w:ascii="Times New Roman CYR" w:hAnsi="Times New Roman CYR" w:cs="Times New Roman CYR"/>
          <w:sz w:val="28"/>
          <w:szCs w:val="28"/>
        </w:rPr>
        <w:t>Среднемесячная начисленная заработная плата одного работника по состоянию на 01.07.20</w:t>
      </w:r>
      <w:r w:rsidR="00DD7712">
        <w:rPr>
          <w:rFonts w:ascii="Times New Roman CYR" w:hAnsi="Times New Roman CYR" w:cs="Times New Roman CYR"/>
          <w:sz w:val="28"/>
          <w:szCs w:val="28"/>
        </w:rPr>
        <w:t>2</w:t>
      </w:r>
      <w:r w:rsidR="00394C63">
        <w:rPr>
          <w:rFonts w:ascii="Times New Roman CYR" w:hAnsi="Times New Roman CYR" w:cs="Times New Roman CYR"/>
          <w:sz w:val="28"/>
          <w:szCs w:val="28"/>
        </w:rPr>
        <w:t>2</w:t>
      </w:r>
      <w:r w:rsidR="00DD771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37E32"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Pr="00A06618">
        <w:rPr>
          <w:rFonts w:ascii="Times New Roman CYR" w:hAnsi="Times New Roman CYR" w:cs="Times New Roman CYR"/>
          <w:sz w:val="28"/>
          <w:szCs w:val="28"/>
        </w:rPr>
        <w:t xml:space="preserve">составила </w:t>
      </w:r>
      <w:r w:rsidR="00394C63">
        <w:rPr>
          <w:rFonts w:ascii="Times New Roman CYR" w:hAnsi="Times New Roman CYR" w:cs="Times New Roman CYR"/>
          <w:sz w:val="28"/>
          <w:szCs w:val="28"/>
        </w:rPr>
        <w:t>54 562,10</w:t>
      </w:r>
      <w:r w:rsidRPr="00A06618">
        <w:rPr>
          <w:rFonts w:ascii="Times New Roman CYR" w:hAnsi="Times New Roman CYR" w:cs="Times New Roman CYR"/>
          <w:sz w:val="28"/>
          <w:szCs w:val="28"/>
        </w:rPr>
        <w:t xml:space="preserve"> руб. и увеличилась по отношению к 20</w:t>
      </w:r>
      <w:r w:rsidR="001C0016">
        <w:rPr>
          <w:rFonts w:ascii="Times New Roman CYR" w:hAnsi="Times New Roman CYR" w:cs="Times New Roman CYR"/>
          <w:sz w:val="28"/>
          <w:szCs w:val="28"/>
        </w:rPr>
        <w:t>20</w:t>
      </w:r>
      <w:r w:rsidRPr="00A06618">
        <w:rPr>
          <w:rFonts w:ascii="Times New Roman CYR" w:hAnsi="Times New Roman CYR" w:cs="Times New Roman CYR"/>
          <w:sz w:val="28"/>
          <w:szCs w:val="28"/>
        </w:rPr>
        <w:t xml:space="preserve"> году номинально на </w:t>
      </w:r>
      <w:r w:rsidR="00394C63">
        <w:rPr>
          <w:rFonts w:ascii="Times New Roman CYR" w:hAnsi="Times New Roman CYR" w:cs="Times New Roman CYR"/>
          <w:sz w:val="28"/>
          <w:szCs w:val="28"/>
        </w:rPr>
        <w:t>10,99</w:t>
      </w:r>
      <w:r w:rsidRPr="00A06618">
        <w:rPr>
          <w:rFonts w:ascii="Times New Roman CYR" w:hAnsi="Times New Roman CYR" w:cs="Times New Roman CYR"/>
          <w:sz w:val="28"/>
          <w:szCs w:val="28"/>
        </w:rPr>
        <w:t xml:space="preserve"> %.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147B1" w:rsidRDefault="005225E1" w:rsidP="0024727F">
      <w:pPr>
        <w:autoSpaceDE w:val="0"/>
        <w:autoSpaceDN w:val="0"/>
        <w:adjustRightInd w:val="0"/>
        <w:spacing w:after="0" w:line="240" w:lineRule="auto"/>
        <w:ind w:left="60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Фонд заработной платы </w:t>
      </w:r>
      <w:r w:rsidRPr="005225E1">
        <w:rPr>
          <w:rFonts w:ascii="Times New Roman CYR" w:hAnsi="Times New Roman CYR" w:cs="Times New Roman CYR"/>
          <w:sz w:val="28"/>
          <w:szCs w:val="28"/>
        </w:rPr>
        <w:t>работников списочного состава организаций и внешних совместителей по полному кругу организаций</w:t>
      </w:r>
      <w:r>
        <w:rPr>
          <w:rFonts w:ascii="Times New Roman CYR" w:hAnsi="Times New Roman CYR" w:cs="Times New Roman CYR"/>
          <w:sz w:val="28"/>
          <w:szCs w:val="28"/>
        </w:rPr>
        <w:t xml:space="preserve"> за</w:t>
      </w:r>
      <w:r w:rsidR="00137E32">
        <w:rPr>
          <w:rFonts w:ascii="Times New Roman CYR" w:hAnsi="Times New Roman CYR" w:cs="Times New Roman CYR"/>
          <w:sz w:val="28"/>
          <w:szCs w:val="28"/>
        </w:rPr>
        <w:t xml:space="preserve"> 1-е</w:t>
      </w:r>
      <w:r>
        <w:rPr>
          <w:rFonts w:ascii="Times New Roman CYR" w:hAnsi="Times New Roman CYR" w:cs="Times New Roman CYR"/>
          <w:sz w:val="28"/>
          <w:szCs w:val="28"/>
        </w:rPr>
        <w:t xml:space="preserve"> полугодие 20</w:t>
      </w:r>
      <w:r w:rsidR="00DD7712">
        <w:rPr>
          <w:rFonts w:ascii="Times New Roman CYR" w:hAnsi="Times New Roman CYR" w:cs="Times New Roman CYR"/>
          <w:sz w:val="28"/>
          <w:szCs w:val="28"/>
        </w:rPr>
        <w:t>2</w:t>
      </w:r>
      <w:r w:rsidR="00394C63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года составил </w:t>
      </w:r>
      <w:r w:rsidR="00771D19">
        <w:rPr>
          <w:rFonts w:ascii="Times New Roman CYR" w:hAnsi="Times New Roman CYR" w:cs="Times New Roman CYR"/>
          <w:sz w:val="28"/>
          <w:szCs w:val="28"/>
        </w:rPr>
        <w:t>2 077 506,32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рублей, что больше аналогичного периода 20</w:t>
      </w:r>
      <w:r w:rsidR="001C0016">
        <w:rPr>
          <w:rFonts w:ascii="Times New Roman CYR" w:hAnsi="Times New Roman CYR" w:cs="Times New Roman CYR"/>
          <w:sz w:val="28"/>
          <w:szCs w:val="28"/>
        </w:rPr>
        <w:t>2</w:t>
      </w:r>
      <w:r w:rsidR="00394C63">
        <w:rPr>
          <w:rFonts w:ascii="Times New Roman CYR" w:hAnsi="Times New Roman CYR" w:cs="Times New Roman CYR"/>
          <w:sz w:val="28"/>
          <w:szCs w:val="28"/>
        </w:rPr>
        <w:t>1</w:t>
      </w:r>
      <w:r w:rsidR="00137E3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="00D72D61">
        <w:rPr>
          <w:rFonts w:ascii="Times New Roman CYR" w:hAnsi="Times New Roman CYR" w:cs="Times New Roman CYR"/>
          <w:sz w:val="28"/>
          <w:szCs w:val="28"/>
        </w:rPr>
        <w:t>на 7,6%</w:t>
      </w:r>
      <w:r w:rsidR="00394C63">
        <w:rPr>
          <w:rFonts w:ascii="Times New Roman CYR" w:hAnsi="Times New Roman CYR" w:cs="Times New Roman CYR"/>
          <w:sz w:val="28"/>
          <w:szCs w:val="28"/>
        </w:rPr>
        <w:t>.</w:t>
      </w:r>
    </w:p>
    <w:p w:rsidR="0061150A" w:rsidRDefault="005225E1" w:rsidP="00DD7712">
      <w:pPr>
        <w:autoSpaceDE w:val="0"/>
        <w:autoSpaceDN w:val="0"/>
        <w:adjustRightInd w:val="0"/>
        <w:spacing w:after="0" w:line="240" w:lineRule="auto"/>
        <w:ind w:left="60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планируемых долгосрочных периодах данная тенденция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предусмотрена</w:t>
      </w:r>
      <w:proofErr w:type="gramEnd"/>
      <w:r w:rsidR="00F27661">
        <w:rPr>
          <w:rFonts w:ascii="Times New Roman CYR" w:hAnsi="Times New Roman CYR" w:cs="Times New Roman CYR"/>
          <w:sz w:val="28"/>
          <w:szCs w:val="28"/>
        </w:rPr>
        <w:t xml:space="preserve"> и показатели</w:t>
      </w:r>
      <w:r w:rsidR="00137E32">
        <w:rPr>
          <w:rFonts w:ascii="Times New Roman CYR" w:hAnsi="Times New Roman CYR" w:cs="Times New Roman CYR"/>
          <w:sz w:val="28"/>
          <w:szCs w:val="28"/>
        </w:rPr>
        <w:t xml:space="preserve"> от прогнозных значений не откло</w:t>
      </w:r>
      <w:r w:rsidR="00F27661">
        <w:rPr>
          <w:rFonts w:ascii="Times New Roman CYR" w:hAnsi="Times New Roman CYR" w:cs="Times New Roman CYR"/>
          <w:sz w:val="28"/>
          <w:szCs w:val="28"/>
        </w:rPr>
        <w:t>няются.</w:t>
      </w:r>
    </w:p>
    <w:sectPr w:rsidR="0061150A" w:rsidSect="002D450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455" w:rsidRDefault="00BE0455" w:rsidP="002D4504">
      <w:pPr>
        <w:spacing w:after="0" w:line="240" w:lineRule="auto"/>
      </w:pPr>
      <w:r>
        <w:separator/>
      </w:r>
    </w:p>
  </w:endnote>
  <w:endnote w:type="continuationSeparator" w:id="0">
    <w:p w:rsidR="00BE0455" w:rsidRDefault="00BE0455" w:rsidP="002D4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778519"/>
      <w:docPartObj>
        <w:docPartGallery w:val="Page Numbers (Bottom of Page)"/>
        <w:docPartUnique/>
      </w:docPartObj>
    </w:sdtPr>
    <w:sdtContent>
      <w:p w:rsidR="007230D1" w:rsidRDefault="001B4C93">
        <w:pPr>
          <w:pStyle w:val="af"/>
          <w:jc w:val="right"/>
        </w:pPr>
        <w:fldSimple w:instr="PAGE   \* MERGEFORMAT">
          <w:r w:rsidR="00C01C24">
            <w:rPr>
              <w:noProof/>
            </w:rPr>
            <w:t>2</w:t>
          </w:r>
        </w:fldSimple>
      </w:p>
    </w:sdtContent>
  </w:sdt>
  <w:p w:rsidR="007230D1" w:rsidRDefault="007230D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455" w:rsidRDefault="00BE0455" w:rsidP="002D4504">
      <w:pPr>
        <w:spacing w:after="0" w:line="240" w:lineRule="auto"/>
      </w:pPr>
      <w:r>
        <w:separator/>
      </w:r>
    </w:p>
  </w:footnote>
  <w:footnote w:type="continuationSeparator" w:id="0">
    <w:p w:rsidR="00BE0455" w:rsidRDefault="00BE0455" w:rsidP="002D4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500D7"/>
    <w:multiLevelType w:val="hybridMultilevel"/>
    <w:tmpl w:val="D8EA069C"/>
    <w:lvl w:ilvl="0" w:tplc="C8A850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F59B0"/>
    <w:rsid w:val="000161EA"/>
    <w:rsid w:val="00025F19"/>
    <w:rsid w:val="00044E88"/>
    <w:rsid w:val="00057B58"/>
    <w:rsid w:val="00075377"/>
    <w:rsid w:val="000A01DC"/>
    <w:rsid w:val="000A1E38"/>
    <w:rsid w:val="000A25FD"/>
    <w:rsid w:val="000B6BA2"/>
    <w:rsid w:val="000B6E15"/>
    <w:rsid w:val="000C0121"/>
    <w:rsid w:val="000C4C12"/>
    <w:rsid w:val="000D30AA"/>
    <w:rsid w:val="000F13B1"/>
    <w:rsid w:val="000F3378"/>
    <w:rsid w:val="00104B76"/>
    <w:rsid w:val="001124D6"/>
    <w:rsid w:val="0011361C"/>
    <w:rsid w:val="001254F5"/>
    <w:rsid w:val="001271EF"/>
    <w:rsid w:val="001276AB"/>
    <w:rsid w:val="00130E92"/>
    <w:rsid w:val="00137E32"/>
    <w:rsid w:val="00137F89"/>
    <w:rsid w:val="00154766"/>
    <w:rsid w:val="0016056C"/>
    <w:rsid w:val="001702BC"/>
    <w:rsid w:val="00175616"/>
    <w:rsid w:val="00177B5D"/>
    <w:rsid w:val="00185D4E"/>
    <w:rsid w:val="001921A6"/>
    <w:rsid w:val="001935E8"/>
    <w:rsid w:val="001A3A19"/>
    <w:rsid w:val="001A7A70"/>
    <w:rsid w:val="001B4C93"/>
    <w:rsid w:val="001B79F6"/>
    <w:rsid w:val="001C0016"/>
    <w:rsid w:val="001C732F"/>
    <w:rsid w:val="001E531D"/>
    <w:rsid w:val="001F45E9"/>
    <w:rsid w:val="0020426B"/>
    <w:rsid w:val="00205FD3"/>
    <w:rsid w:val="00214B21"/>
    <w:rsid w:val="00220323"/>
    <w:rsid w:val="0024226F"/>
    <w:rsid w:val="0024727F"/>
    <w:rsid w:val="002676BB"/>
    <w:rsid w:val="0027382C"/>
    <w:rsid w:val="00285891"/>
    <w:rsid w:val="0029764C"/>
    <w:rsid w:val="002A542C"/>
    <w:rsid w:val="002A550A"/>
    <w:rsid w:val="002B0147"/>
    <w:rsid w:val="002B0791"/>
    <w:rsid w:val="002B2CBC"/>
    <w:rsid w:val="002C6342"/>
    <w:rsid w:val="002C7E53"/>
    <w:rsid w:val="002D4504"/>
    <w:rsid w:val="002E1B03"/>
    <w:rsid w:val="002F68D4"/>
    <w:rsid w:val="003032D6"/>
    <w:rsid w:val="003152D2"/>
    <w:rsid w:val="0033009C"/>
    <w:rsid w:val="003433BE"/>
    <w:rsid w:val="0035708F"/>
    <w:rsid w:val="00365107"/>
    <w:rsid w:val="0037722D"/>
    <w:rsid w:val="00390F22"/>
    <w:rsid w:val="00394C63"/>
    <w:rsid w:val="003B5D6B"/>
    <w:rsid w:val="003C1C83"/>
    <w:rsid w:val="003D0D1E"/>
    <w:rsid w:val="003E67BF"/>
    <w:rsid w:val="003F48C2"/>
    <w:rsid w:val="004011BF"/>
    <w:rsid w:val="00415602"/>
    <w:rsid w:val="00420EB0"/>
    <w:rsid w:val="004234B9"/>
    <w:rsid w:val="00425E1A"/>
    <w:rsid w:val="00427A15"/>
    <w:rsid w:val="00434A03"/>
    <w:rsid w:val="0044180F"/>
    <w:rsid w:val="004440CA"/>
    <w:rsid w:val="0044629A"/>
    <w:rsid w:val="00451BEA"/>
    <w:rsid w:val="004553A5"/>
    <w:rsid w:val="00462308"/>
    <w:rsid w:val="004854FB"/>
    <w:rsid w:val="004A1B76"/>
    <w:rsid w:val="004B5499"/>
    <w:rsid w:val="004C1FA3"/>
    <w:rsid w:val="004C3F8F"/>
    <w:rsid w:val="004E5075"/>
    <w:rsid w:val="004F5370"/>
    <w:rsid w:val="0050078B"/>
    <w:rsid w:val="00506E00"/>
    <w:rsid w:val="005079D9"/>
    <w:rsid w:val="00510261"/>
    <w:rsid w:val="0052012B"/>
    <w:rsid w:val="005217DE"/>
    <w:rsid w:val="005224A6"/>
    <w:rsid w:val="005225E1"/>
    <w:rsid w:val="0053273D"/>
    <w:rsid w:val="00544FE8"/>
    <w:rsid w:val="0055029A"/>
    <w:rsid w:val="0055166E"/>
    <w:rsid w:val="005551FC"/>
    <w:rsid w:val="00576836"/>
    <w:rsid w:val="005932CD"/>
    <w:rsid w:val="005A3E17"/>
    <w:rsid w:val="005A42B4"/>
    <w:rsid w:val="005A6771"/>
    <w:rsid w:val="005B00BE"/>
    <w:rsid w:val="005C3636"/>
    <w:rsid w:val="005C4077"/>
    <w:rsid w:val="005C7407"/>
    <w:rsid w:val="005D2D90"/>
    <w:rsid w:val="005D6701"/>
    <w:rsid w:val="005D6F83"/>
    <w:rsid w:val="005D790F"/>
    <w:rsid w:val="005E4BAB"/>
    <w:rsid w:val="005F1BCF"/>
    <w:rsid w:val="005F24F7"/>
    <w:rsid w:val="005F4B6F"/>
    <w:rsid w:val="00603186"/>
    <w:rsid w:val="00605615"/>
    <w:rsid w:val="00606638"/>
    <w:rsid w:val="00611015"/>
    <w:rsid w:val="0061150A"/>
    <w:rsid w:val="00630634"/>
    <w:rsid w:val="006321CA"/>
    <w:rsid w:val="00635A29"/>
    <w:rsid w:val="006624E7"/>
    <w:rsid w:val="006648F1"/>
    <w:rsid w:val="00665E52"/>
    <w:rsid w:val="00667470"/>
    <w:rsid w:val="00675A51"/>
    <w:rsid w:val="00676587"/>
    <w:rsid w:val="00681366"/>
    <w:rsid w:val="00685437"/>
    <w:rsid w:val="006A0B8F"/>
    <w:rsid w:val="006A4C59"/>
    <w:rsid w:val="006B0D01"/>
    <w:rsid w:val="006C2AD4"/>
    <w:rsid w:val="006C422A"/>
    <w:rsid w:val="006C6F0B"/>
    <w:rsid w:val="006E09B8"/>
    <w:rsid w:val="006E7F6B"/>
    <w:rsid w:val="00713404"/>
    <w:rsid w:val="00717CEB"/>
    <w:rsid w:val="007230D1"/>
    <w:rsid w:val="0072337E"/>
    <w:rsid w:val="007258B4"/>
    <w:rsid w:val="00737EAB"/>
    <w:rsid w:val="00741C91"/>
    <w:rsid w:val="00755710"/>
    <w:rsid w:val="007634A5"/>
    <w:rsid w:val="00765591"/>
    <w:rsid w:val="00771D19"/>
    <w:rsid w:val="00791C3A"/>
    <w:rsid w:val="00792B92"/>
    <w:rsid w:val="0079521F"/>
    <w:rsid w:val="007C0025"/>
    <w:rsid w:val="007C5283"/>
    <w:rsid w:val="007D1B44"/>
    <w:rsid w:val="007D359B"/>
    <w:rsid w:val="007D47D1"/>
    <w:rsid w:val="007D78C8"/>
    <w:rsid w:val="007F1749"/>
    <w:rsid w:val="007F70C0"/>
    <w:rsid w:val="007F7F44"/>
    <w:rsid w:val="008030EC"/>
    <w:rsid w:val="00817BE1"/>
    <w:rsid w:val="008321C1"/>
    <w:rsid w:val="00836642"/>
    <w:rsid w:val="0087045A"/>
    <w:rsid w:val="008813F8"/>
    <w:rsid w:val="008A1658"/>
    <w:rsid w:val="008A255B"/>
    <w:rsid w:val="008A57B1"/>
    <w:rsid w:val="008D4C05"/>
    <w:rsid w:val="008E0263"/>
    <w:rsid w:val="008E32A0"/>
    <w:rsid w:val="008E4FB3"/>
    <w:rsid w:val="008F59B0"/>
    <w:rsid w:val="008F714F"/>
    <w:rsid w:val="009106C1"/>
    <w:rsid w:val="0091253D"/>
    <w:rsid w:val="00913426"/>
    <w:rsid w:val="009278DF"/>
    <w:rsid w:val="00963506"/>
    <w:rsid w:val="00966760"/>
    <w:rsid w:val="00967A4E"/>
    <w:rsid w:val="00967F6C"/>
    <w:rsid w:val="0097457B"/>
    <w:rsid w:val="009954E6"/>
    <w:rsid w:val="00995F2D"/>
    <w:rsid w:val="009A5011"/>
    <w:rsid w:val="009C4A61"/>
    <w:rsid w:val="009D33E4"/>
    <w:rsid w:val="009E48E0"/>
    <w:rsid w:val="009F1FAB"/>
    <w:rsid w:val="009F7BDE"/>
    <w:rsid w:val="00A05738"/>
    <w:rsid w:val="00A36090"/>
    <w:rsid w:val="00A53BC1"/>
    <w:rsid w:val="00A62671"/>
    <w:rsid w:val="00A66A60"/>
    <w:rsid w:val="00A75B52"/>
    <w:rsid w:val="00AA23D3"/>
    <w:rsid w:val="00AB3815"/>
    <w:rsid w:val="00AC1855"/>
    <w:rsid w:val="00AE461F"/>
    <w:rsid w:val="00AF1268"/>
    <w:rsid w:val="00AF2F90"/>
    <w:rsid w:val="00AF605D"/>
    <w:rsid w:val="00B20CE1"/>
    <w:rsid w:val="00B30FF2"/>
    <w:rsid w:val="00B34E55"/>
    <w:rsid w:val="00B37356"/>
    <w:rsid w:val="00B448E2"/>
    <w:rsid w:val="00B5141F"/>
    <w:rsid w:val="00B61BB1"/>
    <w:rsid w:val="00B65EEE"/>
    <w:rsid w:val="00B81AF8"/>
    <w:rsid w:val="00B8488A"/>
    <w:rsid w:val="00B8494D"/>
    <w:rsid w:val="00BB39EB"/>
    <w:rsid w:val="00BB3EE2"/>
    <w:rsid w:val="00BC02A3"/>
    <w:rsid w:val="00BC0A0A"/>
    <w:rsid w:val="00BC6796"/>
    <w:rsid w:val="00BD247B"/>
    <w:rsid w:val="00BE0455"/>
    <w:rsid w:val="00C01C24"/>
    <w:rsid w:val="00C145AC"/>
    <w:rsid w:val="00C263A8"/>
    <w:rsid w:val="00C5445D"/>
    <w:rsid w:val="00C70BB9"/>
    <w:rsid w:val="00C93C28"/>
    <w:rsid w:val="00CD1AEC"/>
    <w:rsid w:val="00CD7679"/>
    <w:rsid w:val="00CF44A9"/>
    <w:rsid w:val="00D13C97"/>
    <w:rsid w:val="00D14679"/>
    <w:rsid w:val="00D147B1"/>
    <w:rsid w:val="00D15DFC"/>
    <w:rsid w:val="00D2138D"/>
    <w:rsid w:val="00D3427A"/>
    <w:rsid w:val="00D34440"/>
    <w:rsid w:val="00D40AB7"/>
    <w:rsid w:val="00D4123E"/>
    <w:rsid w:val="00D50978"/>
    <w:rsid w:val="00D56A38"/>
    <w:rsid w:val="00D60489"/>
    <w:rsid w:val="00D72D61"/>
    <w:rsid w:val="00D80015"/>
    <w:rsid w:val="00D84BA8"/>
    <w:rsid w:val="00DA34B2"/>
    <w:rsid w:val="00DC23FD"/>
    <w:rsid w:val="00DC46C9"/>
    <w:rsid w:val="00DC7A99"/>
    <w:rsid w:val="00DD7712"/>
    <w:rsid w:val="00E0271B"/>
    <w:rsid w:val="00E03DBE"/>
    <w:rsid w:val="00E15B8F"/>
    <w:rsid w:val="00E31115"/>
    <w:rsid w:val="00E32B0D"/>
    <w:rsid w:val="00E46002"/>
    <w:rsid w:val="00E534DC"/>
    <w:rsid w:val="00E53C33"/>
    <w:rsid w:val="00E623F7"/>
    <w:rsid w:val="00E647DA"/>
    <w:rsid w:val="00E66DDF"/>
    <w:rsid w:val="00E7014B"/>
    <w:rsid w:val="00E92C91"/>
    <w:rsid w:val="00E93583"/>
    <w:rsid w:val="00E94937"/>
    <w:rsid w:val="00E96E28"/>
    <w:rsid w:val="00EA23E1"/>
    <w:rsid w:val="00EB2402"/>
    <w:rsid w:val="00EC136D"/>
    <w:rsid w:val="00EC59F8"/>
    <w:rsid w:val="00EC612F"/>
    <w:rsid w:val="00EC7440"/>
    <w:rsid w:val="00EE2594"/>
    <w:rsid w:val="00EE604A"/>
    <w:rsid w:val="00EE7F93"/>
    <w:rsid w:val="00F00D2B"/>
    <w:rsid w:val="00F17EB5"/>
    <w:rsid w:val="00F27661"/>
    <w:rsid w:val="00F279B5"/>
    <w:rsid w:val="00F36C34"/>
    <w:rsid w:val="00F46E3E"/>
    <w:rsid w:val="00F46FBB"/>
    <w:rsid w:val="00F52DA6"/>
    <w:rsid w:val="00F64BCB"/>
    <w:rsid w:val="00F65333"/>
    <w:rsid w:val="00F72E76"/>
    <w:rsid w:val="00F85483"/>
    <w:rsid w:val="00F9187F"/>
    <w:rsid w:val="00F9317D"/>
    <w:rsid w:val="00F938E5"/>
    <w:rsid w:val="00F94564"/>
    <w:rsid w:val="00FA11AD"/>
    <w:rsid w:val="00FA4D28"/>
    <w:rsid w:val="00FB1C35"/>
    <w:rsid w:val="00FB4F34"/>
    <w:rsid w:val="00FC0A2D"/>
    <w:rsid w:val="00FC6CB7"/>
    <w:rsid w:val="00FD2DBF"/>
    <w:rsid w:val="00FE2D66"/>
    <w:rsid w:val="00FE6243"/>
    <w:rsid w:val="00FF1BF9"/>
    <w:rsid w:val="00FF4FE3"/>
    <w:rsid w:val="00FF5D7B"/>
    <w:rsid w:val="00FF7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5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91253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91253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Subtitle"/>
    <w:basedOn w:val="a"/>
    <w:next w:val="a"/>
    <w:link w:val="a7"/>
    <w:uiPriority w:val="11"/>
    <w:qFormat/>
    <w:rsid w:val="008813F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813F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No Spacing"/>
    <w:uiPriority w:val="1"/>
    <w:qFormat/>
    <w:rsid w:val="0052012B"/>
    <w:pPr>
      <w:spacing w:after="0" w:line="240" w:lineRule="auto"/>
    </w:pPr>
  </w:style>
  <w:style w:type="paragraph" w:styleId="1">
    <w:name w:val="toc 1"/>
    <w:basedOn w:val="a"/>
    <w:next w:val="a"/>
    <w:autoRedefine/>
    <w:uiPriority w:val="39"/>
    <w:rsid w:val="005D6701"/>
    <w:pPr>
      <w:tabs>
        <w:tab w:val="right" w:leader="dot" w:pos="9345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noProof/>
      <w:kern w:val="32"/>
      <w:sz w:val="28"/>
      <w:szCs w:val="28"/>
    </w:rPr>
  </w:style>
  <w:style w:type="paragraph" w:styleId="2">
    <w:name w:val="toc 2"/>
    <w:basedOn w:val="a"/>
    <w:next w:val="a"/>
    <w:autoRedefine/>
    <w:uiPriority w:val="39"/>
    <w:rsid w:val="003152D2"/>
    <w:pPr>
      <w:tabs>
        <w:tab w:val="left" w:pos="6804"/>
        <w:tab w:val="right" w:pos="9345"/>
      </w:tabs>
      <w:spacing w:before="40" w:after="0" w:line="240" w:lineRule="auto"/>
      <w:ind w:left="142"/>
      <w:contextualSpacing/>
    </w:pPr>
    <w:rPr>
      <w:rFonts w:ascii="Times New Roman" w:eastAsia="Times New Roman" w:hAnsi="Times New Roman" w:cs="Times New Roman"/>
      <w:smallCaps/>
      <w:noProof/>
      <w:sz w:val="28"/>
      <w:szCs w:val="28"/>
    </w:rPr>
  </w:style>
  <w:style w:type="paragraph" w:styleId="3">
    <w:name w:val="toc 3"/>
    <w:basedOn w:val="a"/>
    <w:next w:val="a"/>
    <w:autoRedefine/>
    <w:uiPriority w:val="39"/>
    <w:rsid w:val="005D6701"/>
    <w:pPr>
      <w:tabs>
        <w:tab w:val="right" w:leader="dot" w:pos="9345"/>
      </w:tabs>
      <w:spacing w:after="0" w:line="240" w:lineRule="auto"/>
      <w:ind w:left="480"/>
    </w:pPr>
    <w:rPr>
      <w:rFonts w:ascii="Times New Roman" w:eastAsia="Times New Roman" w:hAnsi="Times New Roman" w:cs="Times New Roman"/>
      <w:b/>
      <w:i/>
      <w:iCs/>
      <w:noProof/>
      <w:sz w:val="24"/>
      <w:szCs w:val="24"/>
    </w:rPr>
  </w:style>
  <w:style w:type="character" w:styleId="a9">
    <w:name w:val="Hyperlink"/>
    <w:uiPriority w:val="99"/>
    <w:rsid w:val="005D6701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D3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33E4"/>
    <w:rPr>
      <w:rFonts w:ascii="Segoe UI" w:hAnsi="Segoe UI" w:cs="Segoe UI"/>
      <w:sz w:val="18"/>
      <w:szCs w:val="18"/>
    </w:rPr>
  </w:style>
  <w:style w:type="character" w:styleId="ac">
    <w:name w:val="line number"/>
    <w:basedOn w:val="a0"/>
    <w:uiPriority w:val="99"/>
    <w:semiHidden/>
    <w:unhideWhenUsed/>
    <w:rsid w:val="002D4504"/>
  </w:style>
  <w:style w:type="paragraph" w:styleId="ad">
    <w:name w:val="header"/>
    <w:basedOn w:val="a"/>
    <w:link w:val="ae"/>
    <w:uiPriority w:val="99"/>
    <w:unhideWhenUsed/>
    <w:rsid w:val="002D4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D4504"/>
  </w:style>
  <w:style w:type="paragraph" w:styleId="af">
    <w:name w:val="footer"/>
    <w:basedOn w:val="a"/>
    <w:link w:val="af0"/>
    <w:uiPriority w:val="99"/>
    <w:unhideWhenUsed/>
    <w:rsid w:val="002D4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D45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2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3D9B29-7ABB-41D4-93B9-ED4CCA955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4705</TotalTime>
  <Pages>11</Pages>
  <Words>2777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NovolodskayaLV</dc:creator>
  <cp:keywords/>
  <dc:description/>
  <cp:lastModifiedBy>Ivanova EV</cp:lastModifiedBy>
  <cp:revision>121</cp:revision>
  <cp:lastPrinted>2022-10-24T04:55:00Z</cp:lastPrinted>
  <dcterms:created xsi:type="dcterms:W3CDTF">2017-11-01T09:31:00Z</dcterms:created>
  <dcterms:modified xsi:type="dcterms:W3CDTF">2022-10-27T03:59:00Z</dcterms:modified>
</cp:coreProperties>
</file>