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2762A" w:rsidRPr="0002762A" w:rsidRDefault="0002762A" w:rsidP="0002762A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2762A">
        <w:rPr>
          <w:rFonts w:ascii="Times New Roman" w:hAnsi="Times New Roman" w:cs="Times New Roman"/>
          <w:b/>
          <w:sz w:val="52"/>
          <w:szCs w:val="52"/>
        </w:rPr>
        <w:t xml:space="preserve">ОТЧЕТ ОБ ИТОГАХ </w:t>
      </w:r>
      <w:r w:rsidRPr="0002762A">
        <w:rPr>
          <w:rFonts w:ascii="Times New Roman" w:hAnsi="Times New Roman" w:cs="Times New Roman"/>
          <w:b/>
          <w:sz w:val="52"/>
          <w:szCs w:val="52"/>
        </w:rPr>
        <w:br/>
        <w:t>СОЦИАЛЬНО-ЭКОНОМИЧЕСКОГО РАЗВИТИЯ ГОРОДА БОГОТОЛА ЗА 20</w:t>
      </w:r>
      <w:r w:rsidR="00347EE5">
        <w:rPr>
          <w:rFonts w:ascii="Times New Roman" w:hAnsi="Times New Roman" w:cs="Times New Roman"/>
          <w:b/>
          <w:sz w:val="52"/>
          <w:szCs w:val="52"/>
        </w:rPr>
        <w:t>2</w:t>
      </w:r>
      <w:r w:rsidR="007E6FEB">
        <w:rPr>
          <w:rFonts w:ascii="Times New Roman" w:hAnsi="Times New Roman" w:cs="Times New Roman"/>
          <w:b/>
          <w:sz w:val="52"/>
          <w:szCs w:val="52"/>
        </w:rPr>
        <w:t>1</w:t>
      </w:r>
      <w:r w:rsidRPr="0002762A">
        <w:rPr>
          <w:rFonts w:ascii="Times New Roman" w:hAnsi="Times New Roman" w:cs="Times New Roman"/>
          <w:b/>
          <w:sz w:val="52"/>
          <w:szCs w:val="52"/>
        </w:rPr>
        <w:t xml:space="preserve"> ГОД</w:t>
      </w:r>
    </w:p>
    <w:p w:rsidR="0002762A" w:rsidRPr="00245C08" w:rsidRDefault="0002762A" w:rsidP="0002762A">
      <w:pPr>
        <w:jc w:val="center"/>
        <w:rPr>
          <w:sz w:val="28"/>
          <w:szCs w:val="28"/>
        </w:rPr>
      </w:pPr>
    </w:p>
    <w:p w:rsidR="0002762A" w:rsidRPr="00245C08" w:rsidRDefault="0002762A" w:rsidP="0002762A">
      <w:pPr>
        <w:jc w:val="center"/>
        <w:rPr>
          <w:sz w:val="28"/>
          <w:szCs w:val="28"/>
        </w:rPr>
      </w:pPr>
    </w:p>
    <w:p w:rsidR="0002762A" w:rsidRPr="0002762A" w:rsidRDefault="0002762A" w:rsidP="00027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02762A">
        <w:rPr>
          <w:rFonts w:ascii="Times New Roman" w:hAnsi="Times New Roman" w:cs="Times New Roman"/>
          <w:sz w:val="28"/>
          <w:szCs w:val="28"/>
        </w:rPr>
        <w:t xml:space="preserve">(при подготовке использована информация </w:t>
      </w:r>
      <w:proofErr w:type="spellStart"/>
      <w:r w:rsidRPr="0002762A">
        <w:rPr>
          <w:rFonts w:ascii="Times New Roman" w:hAnsi="Times New Roman" w:cs="Times New Roman"/>
          <w:sz w:val="28"/>
          <w:szCs w:val="28"/>
        </w:rPr>
        <w:t>Красноярскстата</w:t>
      </w:r>
      <w:proofErr w:type="spellEnd"/>
      <w:r w:rsidRPr="0002762A">
        <w:rPr>
          <w:rFonts w:ascii="Times New Roman" w:hAnsi="Times New Roman" w:cs="Times New Roman"/>
          <w:sz w:val="28"/>
          <w:szCs w:val="28"/>
        </w:rPr>
        <w:t>)</w:t>
      </w:r>
    </w:p>
    <w:p w:rsidR="0002762A" w:rsidRPr="0002762A" w:rsidRDefault="0002762A" w:rsidP="000276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62A" w:rsidRDefault="0002762A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2762A" w:rsidRDefault="0002762A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90F" w:rsidRPr="005D6701" w:rsidRDefault="00EF590F" w:rsidP="00EF590F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7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ОГЛАВЛЕНИЕ </w:t>
      </w:r>
    </w:p>
    <w:p w:rsidR="00EF590F" w:rsidRPr="00FB67BA" w:rsidRDefault="00EF590F" w:rsidP="00EF590F">
      <w:pPr>
        <w:pStyle w:val="1"/>
        <w:rPr>
          <w:rFonts w:asciiTheme="minorHAnsi" w:eastAsiaTheme="minorEastAsia" w:hAnsiTheme="minorHAnsi" w:cstheme="minorBidi"/>
          <w:kern w:val="0"/>
        </w:rPr>
      </w:pPr>
      <w:r w:rsidRPr="00A5167C">
        <w:fldChar w:fldCharType="begin"/>
      </w:r>
      <w:r w:rsidRPr="00A5167C">
        <w:instrText xml:space="preserve"> TOC \o "1-3" \n \h \z \u </w:instrText>
      </w:r>
      <w:r w:rsidRPr="00A5167C">
        <w:fldChar w:fldCharType="separate"/>
      </w:r>
    </w:p>
    <w:p w:rsidR="00EF590F" w:rsidRDefault="00EF590F" w:rsidP="00EF590F">
      <w:pPr>
        <w:pStyle w:val="2"/>
        <w:contextualSpacing/>
      </w:pPr>
      <w:r w:rsidRPr="00A53BC1">
        <w:t>1. Демографическая ситуация</w:t>
      </w:r>
    </w:p>
    <w:p w:rsidR="00EF590F" w:rsidRPr="00A53BC1" w:rsidRDefault="00EF590F" w:rsidP="00EF590F">
      <w:pPr>
        <w:pStyle w:val="2"/>
        <w:contextualSpacing/>
      </w:pPr>
      <w:r w:rsidRPr="00A53BC1">
        <w:t>2. Рынок труда</w:t>
      </w:r>
    </w:p>
    <w:p w:rsidR="00EF590F" w:rsidRPr="00A53BC1" w:rsidRDefault="00EF590F" w:rsidP="00EF590F">
      <w:pPr>
        <w:pStyle w:val="2"/>
        <w:contextualSpacing/>
        <w:rPr>
          <w:rFonts w:eastAsiaTheme="minorEastAsia"/>
        </w:rPr>
      </w:pPr>
      <w:r w:rsidRPr="00A53BC1">
        <w:t>3. Промышленность</w:t>
      </w:r>
      <w:hyperlink w:anchor="_Toc495495121" w:history="1"/>
    </w:p>
    <w:p w:rsidR="00EF590F" w:rsidRPr="00A53BC1" w:rsidRDefault="00EF590F" w:rsidP="00EF590F">
      <w:pPr>
        <w:pStyle w:val="3"/>
        <w:contextualSpacing/>
        <w:rPr>
          <w:rFonts w:eastAsiaTheme="minorEastAsia"/>
          <w:b w:val="0"/>
          <w:iCs w:val="0"/>
          <w:sz w:val="28"/>
          <w:szCs w:val="28"/>
        </w:rPr>
      </w:pPr>
      <w:r w:rsidRPr="00A53BC1">
        <w:rPr>
          <w:rFonts w:eastAsiaTheme="minorEastAsia"/>
          <w:b w:val="0"/>
          <w:iCs w:val="0"/>
          <w:sz w:val="28"/>
          <w:szCs w:val="28"/>
        </w:rPr>
        <w:t>Объем отгруженной продукции по видам деятельности</w:t>
      </w:r>
    </w:p>
    <w:p w:rsidR="00EF590F" w:rsidRPr="00A53BC1" w:rsidRDefault="00EF590F" w:rsidP="00EF590F">
      <w:pPr>
        <w:pStyle w:val="2"/>
        <w:contextualSpacing/>
        <w:rPr>
          <w:rFonts w:eastAsiaTheme="minorEastAsia"/>
        </w:rPr>
      </w:pPr>
      <w:r w:rsidRPr="00A53BC1">
        <w:t xml:space="preserve">4. </w:t>
      </w:r>
      <w:hyperlink w:anchor="_Toc495495125" w:history="1">
        <w:r w:rsidRPr="00A53BC1">
          <w:rPr>
            <w:rStyle w:val="aa"/>
          </w:rPr>
          <w:t>Сельское хозяйство</w:t>
        </w:r>
      </w:hyperlink>
      <w:r w:rsidRPr="00A53BC1">
        <w:t>, лесное хозяйство</w:t>
      </w:r>
    </w:p>
    <w:p w:rsidR="00EF590F" w:rsidRPr="00A53BC1" w:rsidRDefault="00EF590F" w:rsidP="00EF590F">
      <w:pPr>
        <w:pStyle w:val="2"/>
        <w:contextualSpacing/>
        <w:rPr>
          <w:rFonts w:eastAsiaTheme="minorEastAsia"/>
        </w:rPr>
      </w:pPr>
      <w:r w:rsidRPr="00A53BC1">
        <w:t>5. Малое и среднее предпринимательство</w:t>
      </w:r>
      <w:r w:rsidRPr="00A53BC1">
        <w:rPr>
          <w:rFonts w:eastAsiaTheme="minorEastAsia"/>
        </w:rPr>
        <w:t xml:space="preserve"> </w:t>
      </w:r>
    </w:p>
    <w:p w:rsidR="00EF590F" w:rsidRDefault="00EF590F" w:rsidP="00EF590F">
      <w:pPr>
        <w:pStyle w:val="2"/>
        <w:contextualSpacing/>
      </w:pPr>
      <w:r w:rsidRPr="00A53BC1">
        <w:t xml:space="preserve">6. Инвестиции </w:t>
      </w:r>
    </w:p>
    <w:p w:rsidR="00EF590F" w:rsidRPr="00A53BC1" w:rsidRDefault="00EF590F" w:rsidP="00EF590F">
      <w:pPr>
        <w:pStyle w:val="2"/>
        <w:contextualSpacing/>
      </w:pPr>
      <w:r w:rsidRPr="00A53BC1">
        <w:t xml:space="preserve">7. </w:t>
      </w:r>
      <w:hyperlink w:anchor="_Toc495495131" w:history="1">
        <w:r w:rsidRPr="00A53BC1">
          <w:rPr>
            <w:rStyle w:val="aa"/>
          </w:rPr>
          <w:t>Строительство</w:t>
        </w:r>
      </w:hyperlink>
    </w:p>
    <w:p w:rsidR="00EF590F" w:rsidRPr="00A53BC1" w:rsidRDefault="00EF590F" w:rsidP="001A7260">
      <w:pPr>
        <w:contextualSpacing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7260">
        <w:rPr>
          <w:rFonts w:ascii="Times New Roman" w:hAnsi="Times New Roman" w:cs="Times New Roman"/>
          <w:sz w:val="28"/>
          <w:szCs w:val="28"/>
        </w:rPr>
        <w:t>8</w:t>
      </w:r>
      <w:r w:rsidRPr="00A53BC1">
        <w:rPr>
          <w:rFonts w:ascii="Times New Roman" w:hAnsi="Times New Roman" w:cs="Times New Roman"/>
          <w:smallCaps/>
          <w:sz w:val="28"/>
          <w:szCs w:val="28"/>
        </w:rPr>
        <w:t>. Бюджет муниципального образования</w:t>
      </w:r>
    </w:p>
    <w:p w:rsidR="00EF590F" w:rsidRPr="00A53BC1" w:rsidRDefault="003C54FD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9</w:t>
      </w:r>
      <w:r w:rsidR="00EF590F" w:rsidRPr="00A53BC1">
        <w:rPr>
          <w:rFonts w:ascii="Times New Roman" w:hAnsi="Times New Roman" w:cs="Times New Roman"/>
          <w:smallCaps/>
          <w:sz w:val="28"/>
          <w:szCs w:val="28"/>
        </w:rPr>
        <w:t>. Торговля, общественное питание</w:t>
      </w:r>
    </w:p>
    <w:p w:rsidR="00EF590F" w:rsidRPr="00A53BC1" w:rsidRDefault="00EF590F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 w:rsidRPr="00A53BC1">
        <w:rPr>
          <w:rFonts w:ascii="Times New Roman" w:hAnsi="Times New Roman" w:cs="Times New Roman"/>
          <w:smallCaps/>
          <w:sz w:val="28"/>
          <w:szCs w:val="28"/>
        </w:rPr>
        <w:t>1</w:t>
      </w:r>
      <w:r w:rsidR="003C54FD">
        <w:rPr>
          <w:rFonts w:ascii="Times New Roman" w:hAnsi="Times New Roman" w:cs="Times New Roman"/>
          <w:smallCaps/>
          <w:sz w:val="28"/>
          <w:szCs w:val="28"/>
        </w:rPr>
        <w:t>0</w:t>
      </w:r>
      <w:r w:rsidRPr="00A53BC1">
        <w:rPr>
          <w:rFonts w:ascii="Times New Roman" w:hAnsi="Times New Roman" w:cs="Times New Roman"/>
          <w:smallCaps/>
          <w:sz w:val="28"/>
          <w:szCs w:val="28"/>
        </w:rPr>
        <w:t xml:space="preserve">. </w:t>
      </w:r>
      <w:hyperlink w:anchor="_Toc495495132" w:history="1">
        <w:r w:rsidRPr="00A53BC1">
          <w:rPr>
            <w:rStyle w:val="aa"/>
            <w:rFonts w:ascii="Times New Roman" w:hAnsi="Times New Roman" w:cs="Times New Roman"/>
            <w:smallCaps/>
            <w:sz w:val="28"/>
            <w:szCs w:val="28"/>
          </w:rPr>
          <w:t>Жилищно-коммунальное хозяйство</w:t>
        </w:r>
      </w:hyperlink>
    </w:p>
    <w:p w:rsidR="00EF590F" w:rsidRPr="00A53BC1" w:rsidRDefault="00EF590F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 w:rsidRPr="00A53BC1">
        <w:rPr>
          <w:rFonts w:ascii="Times New Roman" w:hAnsi="Times New Roman" w:cs="Times New Roman"/>
          <w:smallCaps/>
          <w:sz w:val="28"/>
          <w:szCs w:val="28"/>
        </w:rPr>
        <w:t>1</w:t>
      </w:r>
      <w:r w:rsidR="003C54FD">
        <w:rPr>
          <w:rFonts w:ascii="Times New Roman" w:hAnsi="Times New Roman" w:cs="Times New Roman"/>
          <w:smallCaps/>
          <w:sz w:val="28"/>
          <w:szCs w:val="28"/>
        </w:rPr>
        <w:t>1</w:t>
      </w:r>
      <w:r w:rsidRPr="00A53BC1">
        <w:rPr>
          <w:rFonts w:ascii="Times New Roman" w:hAnsi="Times New Roman" w:cs="Times New Roman"/>
          <w:smallCaps/>
          <w:sz w:val="28"/>
          <w:szCs w:val="28"/>
        </w:rPr>
        <w:t>. Платные услуги населению</w:t>
      </w:r>
    </w:p>
    <w:p w:rsidR="00EF590F" w:rsidRDefault="00EF590F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 w:rsidRPr="00A53BC1">
        <w:rPr>
          <w:rFonts w:ascii="Times New Roman" w:hAnsi="Times New Roman" w:cs="Times New Roman"/>
          <w:smallCaps/>
          <w:sz w:val="28"/>
          <w:szCs w:val="28"/>
        </w:rPr>
        <w:t>1</w:t>
      </w:r>
      <w:r w:rsidR="003C54FD">
        <w:rPr>
          <w:rFonts w:ascii="Times New Roman" w:hAnsi="Times New Roman" w:cs="Times New Roman"/>
          <w:smallCaps/>
          <w:sz w:val="28"/>
          <w:szCs w:val="28"/>
        </w:rPr>
        <w:t>2</w:t>
      </w:r>
      <w:r w:rsidRPr="00A53BC1">
        <w:rPr>
          <w:rFonts w:ascii="Times New Roman" w:hAnsi="Times New Roman" w:cs="Times New Roman"/>
          <w:smallCaps/>
          <w:sz w:val="28"/>
          <w:szCs w:val="28"/>
        </w:rPr>
        <w:t xml:space="preserve">. </w:t>
      </w:r>
      <w:r w:rsidR="00CF11C6">
        <w:rPr>
          <w:rFonts w:ascii="Times New Roman" w:hAnsi="Times New Roman" w:cs="Times New Roman"/>
          <w:smallCaps/>
          <w:sz w:val="28"/>
          <w:szCs w:val="28"/>
        </w:rPr>
        <w:t>Транспорт</w:t>
      </w:r>
    </w:p>
    <w:p w:rsidR="00CF11C6" w:rsidRDefault="00CF11C6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</w:t>
      </w:r>
      <w:r w:rsidR="003C54FD">
        <w:rPr>
          <w:rFonts w:ascii="Times New Roman" w:hAnsi="Times New Roman" w:cs="Times New Roman"/>
          <w:smallCaps/>
          <w:sz w:val="28"/>
          <w:szCs w:val="28"/>
        </w:rPr>
        <w:t>3</w:t>
      </w:r>
      <w:r>
        <w:rPr>
          <w:rFonts w:ascii="Times New Roman" w:hAnsi="Times New Roman" w:cs="Times New Roman"/>
          <w:smallCaps/>
          <w:sz w:val="28"/>
          <w:szCs w:val="28"/>
        </w:rPr>
        <w:t>. Благоустройство</w:t>
      </w:r>
    </w:p>
    <w:p w:rsidR="00EF590F" w:rsidRDefault="00EF590F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</w:t>
      </w:r>
      <w:r w:rsidR="003C54FD">
        <w:rPr>
          <w:rFonts w:ascii="Times New Roman" w:hAnsi="Times New Roman" w:cs="Times New Roman"/>
          <w:smallCaps/>
          <w:sz w:val="28"/>
          <w:szCs w:val="28"/>
        </w:rPr>
        <w:t>4</w:t>
      </w:r>
      <w:r>
        <w:rPr>
          <w:rFonts w:ascii="Times New Roman" w:hAnsi="Times New Roman" w:cs="Times New Roman"/>
          <w:smallCaps/>
          <w:sz w:val="28"/>
          <w:szCs w:val="28"/>
        </w:rPr>
        <w:t>. Социальная сфера</w:t>
      </w:r>
    </w:p>
    <w:p w:rsidR="00CF11C6" w:rsidRPr="00A53BC1" w:rsidRDefault="00CF11C6" w:rsidP="00EF590F">
      <w:pPr>
        <w:tabs>
          <w:tab w:val="left" w:pos="142"/>
        </w:tabs>
        <w:ind w:left="142"/>
        <w:contextualSpacing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Заключение</w:t>
      </w:r>
    </w:p>
    <w:p w:rsidR="005D6701" w:rsidRDefault="00EF590F" w:rsidP="00EF5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167C">
        <w:rPr>
          <w:rFonts w:ascii="Times New Roman" w:hAnsi="Times New Roman" w:cs="Times New Roman"/>
          <w:b/>
          <w:noProof/>
          <w:sz w:val="28"/>
          <w:szCs w:val="28"/>
        </w:rPr>
        <w:fldChar w:fldCharType="end"/>
      </w: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Default="0002762A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Default="0002762A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Default="0002762A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Default="0002762A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Default="0002762A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762A" w:rsidRPr="0002762A" w:rsidRDefault="0002762A" w:rsidP="0002762A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481766244"/>
      <w:bookmarkStart w:id="2" w:name="_Toc514234780"/>
      <w:r w:rsidRPr="0002762A">
        <w:rPr>
          <w:rFonts w:ascii="Times New Roman" w:hAnsi="Times New Roman" w:cs="Times New Roman"/>
          <w:b/>
          <w:bCs/>
          <w:kern w:val="32"/>
          <w:sz w:val="32"/>
          <w:szCs w:val="28"/>
        </w:rPr>
        <w:t>Основные показатели социально-экономического развития города Боготола в 20</w:t>
      </w:r>
      <w:r w:rsidR="004F7349">
        <w:rPr>
          <w:rFonts w:ascii="Times New Roman" w:hAnsi="Times New Roman" w:cs="Times New Roman"/>
          <w:b/>
          <w:bCs/>
          <w:kern w:val="32"/>
          <w:sz w:val="32"/>
          <w:szCs w:val="28"/>
        </w:rPr>
        <w:t>2</w:t>
      </w:r>
      <w:r w:rsidR="00735E7D">
        <w:rPr>
          <w:rFonts w:ascii="Times New Roman" w:hAnsi="Times New Roman" w:cs="Times New Roman"/>
          <w:b/>
          <w:bCs/>
          <w:kern w:val="32"/>
          <w:sz w:val="32"/>
          <w:szCs w:val="28"/>
        </w:rPr>
        <w:t>1</w:t>
      </w:r>
      <w:r w:rsidRPr="0002762A">
        <w:rPr>
          <w:rFonts w:ascii="Times New Roman" w:hAnsi="Times New Roman" w:cs="Times New Roman"/>
          <w:b/>
          <w:bCs/>
          <w:kern w:val="32"/>
          <w:sz w:val="32"/>
          <w:szCs w:val="28"/>
        </w:rPr>
        <w:t xml:space="preserve"> году</w:t>
      </w:r>
      <w:bookmarkEnd w:id="1"/>
      <w:bookmarkEnd w:id="2"/>
    </w:p>
    <w:p w:rsidR="004F7349" w:rsidRDefault="004F7349" w:rsidP="004F734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349">
        <w:rPr>
          <w:rFonts w:ascii="Times New Roman" w:eastAsia="Times New Roman" w:hAnsi="Times New Roman" w:cs="Times New Roman"/>
          <w:sz w:val="28"/>
          <w:szCs w:val="28"/>
        </w:rPr>
        <w:t xml:space="preserve">Итоги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F7349">
        <w:rPr>
          <w:rFonts w:ascii="Times New Roman" w:eastAsia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35E7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F7349">
        <w:rPr>
          <w:rFonts w:ascii="Times New Roman" w:eastAsia="Times New Roman" w:hAnsi="Times New Roman" w:cs="Times New Roman"/>
          <w:sz w:val="28"/>
          <w:szCs w:val="28"/>
        </w:rPr>
        <w:t xml:space="preserve"> год подготовлены по данным Управления Федеральной службы государственной статистики по Красноярскому краю, Республике Хакасия </w:t>
      </w:r>
      <w:r w:rsidRPr="004F7349">
        <w:rPr>
          <w:rFonts w:ascii="Times New Roman" w:eastAsia="Times New Roman" w:hAnsi="Times New Roman" w:cs="Times New Roman"/>
          <w:sz w:val="28"/>
          <w:szCs w:val="28"/>
        </w:rPr>
        <w:br/>
        <w:t xml:space="preserve">и Республике Тыва (далее – </w:t>
      </w:r>
      <w:proofErr w:type="spellStart"/>
      <w:r w:rsidRPr="004F7349">
        <w:rPr>
          <w:rFonts w:ascii="Times New Roman" w:eastAsia="Times New Roman" w:hAnsi="Times New Roman" w:cs="Times New Roman"/>
          <w:sz w:val="28"/>
          <w:szCs w:val="28"/>
        </w:rPr>
        <w:t>Красноярскстат</w:t>
      </w:r>
      <w:proofErr w:type="spellEnd"/>
      <w:r w:rsidRPr="004F7349">
        <w:rPr>
          <w:rFonts w:ascii="Times New Roman" w:eastAsia="Times New Roman" w:hAnsi="Times New Roman" w:cs="Times New Roman"/>
          <w:sz w:val="28"/>
          <w:szCs w:val="28"/>
        </w:rPr>
        <w:t xml:space="preserve">), ведомственной отчетности </w:t>
      </w:r>
      <w:r w:rsidRPr="004F7349">
        <w:rPr>
          <w:rFonts w:ascii="Times New Roman" w:eastAsia="Times New Roman" w:hAnsi="Times New Roman" w:cs="Times New Roman"/>
          <w:sz w:val="28"/>
          <w:szCs w:val="28"/>
        </w:rPr>
        <w:br/>
        <w:t xml:space="preserve">и данным предприятий. </w:t>
      </w:r>
    </w:p>
    <w:p w:rsidR="0040049E" w:rsidRPr="004F7349" w:rsidRDefault="0040049E" w:rsidP="004F7349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138D" w:rsidRDefault="008F59B0" w:rsidP="005C4077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4077">
        <w:rPr>
          <w:b/>
          <w:sz w:val="28"/>
          <w:szCs w:val="28"/>
        </w:rPr>
        <w:t>Демографическая ситуация</w:t>
      </w:r>
    </w:p>
    <w:p w:rsidR="00B34E55" w:rsidRPr="005C4077" w:rsidRDefault="00B34E55" w:rsidP="00B34E55">
      <w:pPr>
        <w:pStyle w:val="a4"/>
        <w:ind w:left="927"/>
        <w:rPr>
          <w:b/>
          <w:sz w:val="28"/>
          <w:szCs w:val="28"/>
        </w:rPr>
      </w:pPr>
    </w:p>
    <w:p w:rsidR="00231365" w:rsidRPr="00713404" w:rsidRDefault="000069FA" w:rsidP="00231365">
      <w:pPr>
        <w:pStyle w:val="a8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0069FA">
        <w:rPr>
          <w:rFonts w:ascii="Times New Roman CYR" w:eastAsia="Times New Roman" w:hAnsi="Times New Roman CYR" w:cs="Times New Roman CYR"/>
          <w:sz w:val="28"/>
          <w:szCs w:val="28"/>
          <w:u w:color="FF0000"/>
        </w:rPr>
        <w:t>Демографическая ситуация на территории города характеризуется ежегодным снижением общей численности населения.</w:t>
      </w:r>
      <w:r>
        <w:rPr>
          <w:rFonts w:ascii="Times New Roman CYR" w:eastAsia="Times New Roman" w:hAnsi="Times New Roman CYR" w:cs="Times New Roman CYR"/>
          <w:sz w:val="28"/>
          <w:szCs w:val="28"/>
          <w:u w:color="FF0000"/>
        </w:rPr>
        <w:t xml:space="preserve"> </w:t>
      </w:r>
      <w:r w:rsidR="00231365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Численность </w:t>
      </w:r>
      <w:r w:rsidR="00231365" w:rsidRPr="00892B17">
        <w:rPr>
          <w:rFonts w:ascii="Times New Roman" w:hAnsi="Times New Roman" w:cs="Times New Roman"/>
          <w:spacing w:val="-4"/>
          <w:sz w:val="28"/>
          <w:szCs w:val="28"/>
          <w:u w:color="E37529"/>
        </w:rPr>
        <w:t>постоянного населения муниципального образования на 01.01.20</w:t>
      </w:r>
      <w:r w:rsidR="00AD6903">
        <w:rPr>
          <w:rFonts w:ascii="Times New Roman" w:hAnsi="Times New Roman" w:cs="Times New Roman"/>
          <w:spacing w:val="-4"/>
          <w:sz w:val="28"/>
          <w:szCs w:val="28"/>
          <w:u w:color="E37529"/>
        </w:rPr>
        <w:t>2</w:t>
      </w:r>
      <w:r w:rsidR="00735E7D">
        <w:rPr>
          <w:rFonts w:ascii="Times New Roman" w:hAnsi="Times New Roman" w:cs="Times New Roman"/>
          <w:spacing w:val="-4"/>
          <w:sz w:val="28"/>
          <w:szCs w:val="28"/>
          <w:u w:color="E37529"/>
        </w:rPr>
        <w:t>2</w:t>
      </w:r>
      <w:r w:rsidR="00231365" w:rsidRPr="00892B17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 года </w:t>
      </w:r>
      <w:r w:rsidR="00231365">
        <w:rPr>
          <w:rFonts w:ascii="Times New Roman" w:hAnsi="Times New Roman" w:cs="Times New Roman"/>
          <w:spacing w:val="-4"/>
          <w:sz w:val="28"/>
          <w:szCs w:val="28"/>
          <w:u w:color="E37529"/>
        </w:rPr>
        <w:t>составляет 1</w:t>
      </w:r>
      <w:r w:rsidR="00735E7D">
        <w:rPr>
          <w:rFonts w:ascii="Times New Roman" w:hAnsi="Times New Roman" w:cs="Times New Roman"/>
          <w:spacing w:val="-4"/>
          <w:sz w:val="28"/>
          <w:szCs w:val="28"/>
          <w:u w:color="E37529"/>
        </w:rPr>
        <w:t>8 805</w:t>
      </w:r>
      <w:r w:rsidR="00231365" w:rsidRPr="00892B17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 человек, </w:t>
      </w:r>
      <w:r w:rsidR="0040049E">
        <w:rPr>
          <w:rFonts w:ascii="Times New Roman" w:hAnsi="Times New Roman" w:cs="Times New Roman"/>
          <w:spacing w:val="-4"/>
          <w:sz w:val="28"/>
          <w:szCs w:val="28"/>
          <w:u w:color="E37529"/>
        </w:rPr>
        <w:t>что ниже прогнозных и оценочных значений, соотнош</w:t>
      </w:r>
      <w:r w:rsidR="00231365" w:rsidRPr="00892B17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ение мужчин и женщин составляет </w:t>
      </w:r>
      <w:r w:rsidR="00231365" w:rsidRPr="00504581">
        <w:rPr>
          <w:rFonts w:ascii="Times New Roman" w:hAnsi="Times New Roman" w:cs="Times New Roman"/>
          <w:spacing w:val="-4"/>
          <w:sz w:val="28"/>
          <w:szCs w:val="28"/>
          <w:u w:color="E37529"/>
        </w:rPr>
        <w:t>45,4% и 54,6%</w:t>
      </w:r>
      <w:r w:rsidR="00231365" w:rsidRPr="00892B17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 соответственно</w:t>
      </w:r>
      <w:r w:rsidR="00231365">
        <w:rPr>
          <w:rFonts w:ascii="Times New Roman" w:hAnsi="Times New Roman" w:cs="Times New Roman"/>
          <w:spacing w:val="-4"/>
          <w:sz w:val="28"/>
          <w:szCs w:val="28"/>
          <w:u w:color="E37529"/>
        </w:rPr>
        <w:t xml:space="preserve">. </w:t>
      </w:r>
    </w:p>
    <w:p w:rsidR="00180AA5" w:rsidRDefault="00231365" w:rsidP="000069FA">
      <w:pPr>
        <w:spacing w:line="240" w:lineRule="auto"/>
        <w:ind w:firstLine="567"/>
        <w:contextualSpacing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Естественная убыль населения </w:t>
      </w:r>
      <w:proofErr w:type="gramStart"/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за  20</w:t>
      </w:r>
      <w:r w:rsidR="0040049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735E7D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</w:t>
      </w:r>
      <w:r w:rsidR="0040049E">
        <w:rPr>
          <w:rFonts w:ascii="Times New Roman CYR" w:hAnsi="Times New Roman CYR" w:cs="Times New Roman CYR"/>
          <w:sz w:val="28"/>
          <w:szCs w:val="28"/>
          <w:u w:color="FF0000"/>
        </w:rPr>
        <w:t>ла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D507A7" w:rsidRPr="00D507A7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735E7D">
        <w:rPr>
          <w:rFonts w:ascii="Times New Roman CYR" w:hAnsi="Times New Roman CYR" w:cs="Times New Roman CYR"/>
          <w:sz w:val="28"/>
          <w:szCs w:val="28"/>
          <w:u w:color="FF0000"/>
        </w:rPr>
        <w:t>6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Pr="00D507A7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Pr="00D507A7">
        <w:rPr>
          <w:rFonts w:ascii="Times New Roman CYR" w:hAnsi="Times New Roman CYR" w:cs="Times New Roman CYR"/>
          <w:sz w:val="28"/>
          <w:szCs w:val="28"/>
          <w:u w:color="FF0000"/>
        </w:rPr>
        <w:t xml:space="preserve"> (число умерших – </w:t>
      </w:r>
      <w:r w:rsidR="00D507A7" w:rsidRPr="00D507A7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735E7D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5</w:t>
      </w:r>
      <w:r w:rsidRPr="00D507A7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человек, число родившихся – </w:t>
      </w:r>
      <w:r w:rsidR="00D507A7" w:rsidRPr="00D507A7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="00735E7D">
        <w:rPr>
          <w:rFonts w:ascii="Times New Roman CYR" w:hAnsi="Times New Roman CYR" w:cs="Times New Roman CYR"/>
          <w:sz w:val="28"/>
          <w:szCs w:val="28"/>
          <w:u w:color="FF0000"/>
        </w:rPr>
        <w:t>8</w:t>
      </w:r>
      <w:r w:rsidR="00D507A7" w:rsidRPr="00D507A7">
        <w:rPr>
          <w:rFonts w:ascii="Times New Roman CYR" w:hAnsi="Times New Roman CYR" w:cs="Times New Roman CYR"/>
          <w:sz w:val="28"/>
          <w:szCs w:val="28"/>
          <w:u w:color="FF0000"/>
        </w:rPr>
        <w:t>3</w:t>
      </w:r>
      <w:r w:rsidRPr="00D507A7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123F09" w:rsidRPr="00D507A7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735E7D">
        <w:rPr>
          <w:rFonts w:ascii="Times New Roman CYR" w:hAnsi="Times New Roman CYR" w:cs="Times New Roman CYR"/>
          <w:sz w:val="28"/>
          <w:szCs w:val="28"/>
          <w:u w:color="FF0000"/>
        </w:rPr>
        <w:t>)</w:t>
      </w:r>
      <w:r w:rsidR="00A845AE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180AA5" w:rsidRPr="004D1F0B">
        <w:rPr>
          <w:rFonts w:ascii="Times New Roman" w:hAnsi="Times New Roman"/>
          <w:sz w:val="28"/>
          <w:szCs w:val="28"/>
        </w:rPr>
        <w:t>По</w:t>
      </w:r>
      <w:r w:rsidR="00180AA5">
        <w:rPr>
          <w:rFonts w:ascii="Times New Roman" w:hAnsi="Times New Roman"/>
          <w:sz w:val="28"/>
          <w:szCs w:val="28"/>
        </w:rPr>
        <w:t>казатель естественная убыль остается высоким из-за высокого показателя смертности и низкого уровня рождаемости. Основные причины смертности: болезни системы органов кровообращения</w:t>
      </w:r>
      <w:r>
        <w:rPr>
          <w:rFonts w:ascii="Times New Roman" w:hAnsi="Times New Roman"/>
          <w:sz w:val="28"/>
          <w:szCs w:val="28"/>
        </w:rPr>
        <w:t xml:space="preserve"> (5</w:t>
      </w:r>
      <w:r w:rsidR="00735E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%)</w:t>
      </w:r>
      <w:r w:rsidR="00180AA5">
        <w:rPr>
          <w:rFonts w:ascii="Times New Roman" w:hAnsi="Times New Roman"/>
          <w:sz w:val="28"/>
          <w:szCs w:val="28"/>
        </w:rPr>
        <w:t xml:space="preserve">, </w:t>
      </w:r>
      <w:r w:rsidR="00735E7D">
        <w:rPr>
          <w:rFonts w:ascii="Times New Roman" w:hAnsi="Times New Roman"/>
          <w:sz w:val="28"/>
          <w:szCs w:val="28"/>
        </w:rPr>
        <w:t>новообразования</w:t>
      </w:r>
      <w:r w:rsidR="00123F09">
        <w:rPr>
          <w:rFonts w:ascii="Times New Roman" w:hAnsi="Times New Roman"/>
          <w:sz w:val="28"/>
          <w:szCs w:val="28"/>
        </w:rPr>
        <w:t xml:space="preserve"> (1</w:t>
      </w:r>
      <w:r w:rsidR="00735E7D">
        <w:rPr>
          <w:rFonts w:ascii="Times New Roman" w:hAnsi="Times New Roman"/>
          <w:sz w:val="28"/>
          <w:szCs w:val="28"/>
        </w:rPr>
        <w:t>2</w:t>
      </w:r>
      <w:r w:rsidR="00123F09">
        <w:rPr>
          <w:rFonts w:ascii="Times New Roman" w:hAnsi="Times New Roman"/>
          <w:sz w:val="28"/>
          <w:szCs w:val="28"/>
        </w:rPr>
        <w:t>%)</w:t>
      </w:r>
      <w:r w:rsidR="00180AA5">
        <w:rPr>
          <w:rFonts w:ascii="Times New Roman" w:hAnsi="Times New Roman"/>
          <w:sz w:val="28"/>
          <w:szCs w:val="28"/>
        </w:rPr>
        <w:t xml:space="preserve">, </w:t>
      </w:r>
      <w:r w:rsidR="00735E7D">
        <w:rPr>
          <w:rFonts w:ascii="Times New Roman" w:hAnsi="Times New Roman"/>
          <w:sz w:val="28"/>
          <w:szCs w:val="28"/>
          <w:lang w:val="en-US"/>
        </w:rPr>
        <w:t>COVID</w:t>
      </w:r>
      <w:r w:rsidR="00735E7D" w:rsidRPr="00735E7D">
        <w:rPr>
          <w:rFonts w:ascii="Times New Roman" w:hAnsi="Times New Roman"/>
          <w:sz w:val="28"/>
          <w:szCs w:val="28"/>
        </w:rPr>
        <w:t>-19</w:t>
      </w:r>
      <w:r w:rsidR="00735E7D">
        <w:rPr>
          <w:rFonts w:ascii="Times New Roman" w:hAnsi="Times New Roman"/>
          <w:sz w:val="28"/>
          <w:szCs w:val="28"/>
        </w:rPr>
        <w:t xml:space="preserve"> (14%), болезни органов дыхания (и органов пищеварения (11%), </w:t>
      </w:r>
      <w:r w:rsidR="00180AA5">
        <w:rPr>
          <w:rFonts w:ascii="Times New Roman" w:hAnsi="Times New Roman"/>
          <w:sz w:val="28"/>
          <w:szCs w:val="28"/>
        </w:rPr>
        <w:t>внешние причины и травмы</w:t>
      </w:r>
      <w:r w:rsidR="00123F09">
        <w:rPr>
          <w:rFonts w:ascii="Times New Roman" w:hAnsi="Times New Roman"/>
          <w:sz w:val="28"/>
          <w:szCs w:val="28"/>
        </w:rPr>
        <w:t xml:space="preserve"> (</w:t>
      </w:r>
      <w:r w:rsidR="00735E7D">
        <w:rPr>
          <w:rFonts w:ascii="Times New Roman" w:hAnsi="Times New Roman"/>
          <w:sz w:val="28"/>
          <w:szCs w:val="28"/>
        </w:rPr>
        <w:t>7</w:t>
      </w:r>
      <w:r w:rsidR="00123F09">
        <w:rPr>
          <w:rFonts w:ascii="Times New Roman" w:hAnsi="Times New Roman"/>
          <w:sz w:val="28"/>
          <w:szCs w:val="28"/>
        </w:rPr>
        <w:t>%).</w:t>
      </w:r>
    </w:p>
    <w:p w:rsidR="00180AA5" w:rsidRDefault="000069FA" w:rsidP="00180A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0069FA">
        <w:rPr>
          <w:rFonts w:ascii="Times New Roman CYR" w:eastAsia="Times New Roman" w:hAnsi="Times New Roman CYR" w:cs="Times New Roman CYR"/>
          <w:sz w:val="28"/>
          <w:szCs w:val="28"/>
          <w:u w:color="FF0000"/>
        </w:rPr>
        <w:t xml:space="preserve">По-прежнему, на территории муниципального образования город Боготол наблюдается устойчивая миграционная убыль. </w:t>
      </w:r>
      <w:r w:rsidRPr="00690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миграции сложил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отток населения в</w:t>
      </w:r>
      <w:r w:rsidRPr="00690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15</w:t>
      </w:r>
      <w:r w:rsidR="005045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690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 (число прибывших на территорию-5</w:t>
      </w:r>
      <w:r w:rsidR="005045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85</w:t>
      </w:r>
      <w:r w:rsidRPr="00690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человек, число выбывших-741 человек).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D1F0B" w:rsidRDefault="000069FA" w:rsidP="000069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0069FA">
        <w:rPr>
          <w:rFonts w:ascii="Times New Roman CYR" w:hAnsi="Times New Roman CYR" w:cs="Times New Roman CYR"/>
          <w:sz w:val="28"/>
          <w:szCs w:val="28"/>
          <w:u w:color="FF0000"/>
        </w:rPr>
        <w:t>Численность населения в трудоспособном возрасте составляет 9 923 человек.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735E7D" w:rsidRDefault="00D75E73" w:rsidP="00735E7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Число браков составило 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160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 число р</w:t>
      </w:r>
      <w:r w:rsidR="00C97FBE">
        <w:rPr>
          <w:rFonts w:ascii="Times New Roman CYR" w:hAnsi="Times New Roman CYR" w:cs="Times New Roman CYR"/>
          <w:sz w:val="28"/>
          <w:szCs w:val="28"/>
          <w:u w:color="FF0000"/>
        </w:rPr>
        <w:t>азводов у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величилось</w:t>
      </w:r>
      <w:r w:rsidR="00C97FBE">
        <w:rPr>
          <w:rFonts w:ascii="Times New Roman CYR" w:hAnsi="Times New Roman CYR" w:cs="Times New Roman CYR"/>
          <w:sz w:val="28"/>
          <w:szCs w:val="28"/>
          <w:u w:color="FF0000"/>
        </w:rPr>
        <w:t xml:space="preserve"> по сравнению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 20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20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годом и составило </w:t>
      </w:r>
      <w:r w:rsidR="000069FA">
        <w:rPr>
          <w:rFonts w:ascii="Times New Roman CYR" w:hAnsi="Times New Roman CYR" w:cs="Times New Roman CYR"/>
          <w:sz w:val="28"/>
          <w:szCs w:val="28"/>
          <w:u w:color="FF0000"/>
        </w:rPr>
        <w:t>112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735E7D" w:rsidRPr="00735E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75E73" w:rsidRDefault="00D75E73" w:rsidP="008F59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9E48E0" w:rsidRDefault="004D1F0B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b/>
          <w:bCs/>
          <w:noProof/>
        </w:rPr>
        <w:lastRenderedPageBreak/>
        <w:drawing>
          <wp:inline distT="0" distB="0" distL="0" distR="0" wp14:anchorId="03E07B52" wp14:editId="55E79DE1">
            <wp:extent cx="5619750" cy="344805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2077E" w:rsidRDefault="00A2077E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4D1F0B" w:rsidRDefault="004D1F0B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9E48E0" w:rsidRPr="005C4077" w:rsidRDefault="009E48E0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5C4077">
        <w:rPr>
          <w:rFonts w:ascii="Times New Roman CYR" w:hAnsi="Times New Roman CYR" w:cs="Times New Roman CYR"/>
          <w:b/>
          <w:sz w:val="28"/>
          <w:szCs w:val="28"/>
          <w:u w:color="FF0000"/>
        </w:rPr>
        <w:t>Рынок труда</w:t>
      </w:r>
    </w:p>
    <w:p w:rsidR="009E48E0" w:rsidRDefault="009E48E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B1E01" w:rsidRPr="000B1E01" w:rsidRDefault="000B1E01" w:rsidP="000B1E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0B1E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Последствия пандемии, конечно, не могли не сказаться на общей экономической ситуации, которая сейчас все же постепенно выправляется. На территории муниципального образования город Боготол по состоянию на 01.01.2022 года осуществляют финансово-хозяйственную деятельность свыше 47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5</w:t>
      </w:r>
      <w:r w:rsidRPr="000B1E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организаций, структурных подразделений, индивидуальных предпринимателей, из них 333 субъекта малого предпринимательства. </w:t>
      </w:r>
      <w:r w:rsidRPr="000B1E01">
        <w:rPr>
          <w:rFonts w:ascii="Times New Roman CYR" w:eastAsia="Calibri" w:hAnsi="Times New Roman CYR" w:cs="Times New Roman CYR"/>
          <w:sz w:val="28"/>
          <w:szCs w:val="28"/>
          <w:lang w:eastAsia="en-US"/>
        </w:rPr>
        <w:t>Среднесписочная численность работников организаций (без внешних совместителей) составила в 2021 году составила 6 </w:t>
      </w:r>
      <w:r>
        <w:rPr>
          <w:rFonts w:ascii="Times New Roman CYR" w:eastAsia="Calibri" w:hAnsi="Times New Roman CYR" w:cs="Times New Roman CYR"/>
          <w:sz w:val="28"/>
          <w:szCs w:val="28"/>
          <w:lang w:eastAsia="en-US"/>
        </w:rPr>
        <w:t>981</w:t>
      </w:r>
      <w:r w:rsidRPr="000B1E01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человек</w:t>
      </w:r>
      <w:r>
        <w:rPr>
          <w:rFonts w:ascii="Times New Roman CYR" w:eastAsia="Calibri" w:hAnsi="Times New Roman CYR" w:cs="Times New Roman CYR"/>
          <w:sz w:val="28"/>
          <w:szCs w:val="28"/>
          <w:lang w:eastAsia="en-US"/>
        </w:rPr>
        <w:t>а</w:t>
      </w:r>
      <w:r w:rsidRPr="000B1E01">
        <w:rPr>
          <w:rFonts w:ascii="Times New Roman CYR" w:eastAsia="Calibri" w:hAnsi="Times New Roman CYR" w:cs="Times New Roman CYR"/>
          <w:sz w:val="28"/>
          <w:szCs w:val="28"/>
          <w:lang w:eastAsia="en-US"/>
        </w:rPr>
        <w:t>, в процентах к прошлому году 9</w:t>
      </w:r>
      <w:r>
        <w:rPr>
          <w:rFonts w:ascii="Times New Roman CYR" w:eastAsia="Calibri" w:hAnsi="Times New Roman CYR" w:cs="Times New Roman CYR"/>
          <w:sz w:val="28"/>
          <w:szCs w:val="28"/>
          <w:lang w:eastAsia="en-US"/>
        </w:rPr>
        <w:t>8,3</w:t>
      </w:r>
      <w:r w:rsidRPr="000B1E01">
        <w:rPr>
          <w:rFonts w:ascii="Times New Roman CYR" w:eastAsia="Calibri" w:hAnsi="Times New Roman CYR" w:cs="Times New Roman CYR"/>
          <w:sz w:val="28"/>
          <w:szCs w:val="28"/>
          <w:lang w:eastAsia="en-US"/>
        </w:rPr>
        <w:t>%.</w:t>
      </w:r>
    </w:p>
    <w:p w:rsidR="009E48E0" w:rsidRDefault="009E48E0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73A64">
        <w:rPr>
          <w:rFonts w:ascii="Times New Roman CYR" w:hAnsi="Times New Roman CYR" w:cs="Times New Roman CYR"/>
          <w:sz w:val="28"/>
          <w:szCs w:val="28"/>
        </w:rPr>
        <w:t xml:space="preserve">Основная доля среднесписочной численности работников </w:t>
      </w:r>
      <w:r w:rsidR="004234B9" w:rsidRPr="00773A64">
        <w:rPr>
          <w:rFonts w:ascii="Times New Roman CYR" w:hAnsi="Times New Roman CYR" w:cs="Times New Roman CYR"/>
          <w:sz w:val="28"/>
          <w:szCs w:val="28"/>
        </w:rPr>
        <w:t xml:space="preserve">неизменно </w:t>
      </w:r>
      <w:r w:rsidRPr="00773A64">
        <w:rPr>
          <w:rFonts w:ascii="Times New Roman CYR" w:hAnsi="Times New Roman CYR" w:cs="Times New Roman CYR"/>
          <w:sz w:val="28"/>
          <w:szCs w:val="28"/>
        </w:rPr>
        <w:t xml:space="preserve">приходится на вид деятельности «Транспортировка и хранение» - </w:t>
      </w:r>
      <w:r w:rsidR="00F27491">
        <w:rPr>
          <w:rFonts w:ascii="Times New Roman CYR" w:hAnsi="Times New Roman CYR" w:cs="Times New Roman CYR"/>
          <w:sz w:val="28"/>
          <w:szCs w:val="28"/>
        </w:rPr>
        <w:t xml:space="preserve">42,8 </w:t>
      </w:r>
      <w:r w:rsidRPr="00773A64">
        <w:rPr>
          <w:rFonts w:ascii="Times New Roman CYR" w:hAnsi="Times New Roman CYR" w:cs="Times New Roman CYR"/>
          <w:sz w:val="28"/>
          <w:szCs w:val="28"/>
        </w:rPr>
        <w:t xml:space="preserve">% или </w:t>
      </w:r>
      <w:r w:rsidR="00F27491">
        <w:rPr>
          <w:rFonts w:ascii="Times New Roman CYR" w:hAnsi="Times New Roman CYR" w:cs="Times New Roman CYR"/>
          <w:sz w:val="28"/>
          <w:szCs w:val="28"/>
        </w:rPr>
        <w:t xml:space="preserve">2 </w:t>
      </w:r>
      <w:proofErr w:type="gramStart"/>
      <w:r w:rsidR="00F27491">
        <w:rPr>
          <w:rFonts w:ascii="Times New Roman CYR" w:hAnsi="Times New Roman CYR" w:cs="Times New Roman CYR"/>
          <w:sz w:val="28"/>
          <w:szCs w:val="28"/>
        </w:rPr>
        <w:t>986</w:t>
      </w:r>
      <w:r w:rsidRPr="00773A64">
        <w:rPr>
          <w:rFonts w:ascii="Times New Roman CYR" w:hAnsi="Times New Roman CYR" w:cs="Times New Roman CYR"/>
          <w:sz w:val="28"/>
          <w:szCs w:val="28"/>
        </w:rPr>
        <w:t xml:space="preserve">  чел.</w:t>
      </w:r>
      <w:proofErr w:type="gramEnd"/>
      <w:r w:rsidRPr="00773A64">
        <w:rPr>
          <w:rFonts w:ascii="Times New Roman CYR" w:hAnsi="Times New Roman CYR" w:cs="Times New Roman CYR"/>
          <w:sz w:val="28"/>
          <w:szCs w:val="28"/>
        </w:rPr>
        <w:t>, к которой относится деятельность структурных подразделений ОАО «РЖД»</w:t>
      </w:r>
      <w:r w:rsidR="00F27491">
        <w:rPr>
          <w:rFonts w:ascii="Times New Roman CYR" w:hAnsi="Times New Roman CYR" w:cs="Times New Roman CYR"/>
          <w:sz w:val="28"/>
          <w:szCs w:val="28"/>
        </w:rPr>
        <w:t xml:space="preserve"> и вспомогательная транспортная деятельность</w:t>
      </w:r>
      <w:r w:rsidRPr="00773A64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078A4" w:rsidRDefault="00A67345" w:rsidP="00504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15A5E">
        <w:rPr>
          <w:rFonts w:ascii="Times New Roman CYR" w:hAnsi="Times New Roman CYR" w:cs="Times New Roman CYR"/>
          <w:sz w:val="28"/>
          <w:szCs w:val="28"/>
        </w:rPr>
        <w:t xml:space="preserve">Фонд заработной платы всех работников организаций (без СМП) составил более трех </w:t>
      </w:r>
      <w:r w:rsidR="00F27491" w:rsidRPr="00B15A5E">
        <w:rPr>
          <w:rFonts w:ascii="Times New Roman CYR" w:hAnsi="Times New Roman CYR" w:cs="Times New Roman CYR"/>
          <w:sz w:val="28"/>
          <w:szCs w:val="28"/>
        </w:rPr>
        <w:t xml:space="preserve">с половиной </w:t>
      </w:r>
      <w:r w:rsidRPr="00B15A5E">
        <w:rPr>
          <w:rFonts w:ascii="Times New Roman CYR" w:hAnsi="Times New Roman CYR" w:cs="Times New Roman CYR"/>
          <w:sz w:val="28"/>
          <w:szCs w:val="28"/>
        </w:rPr>
        <w:t>миллиардов рублей</w:t>
      </w:r>
      <w:r w:rsidR="00C235C1" w:rsidRPr="00B15A5E">
        <w:rPr>
          <w:rFonts w:ascii="Times New Roman CYR" w:hAnsi="Times New Roman CYR" w:cs="Times New Roman CYR"/>
          <w:sz w:val="28"/>
          <w:szCs w:val="28"/>
        </w:rPr>
        <w:t>, темп роста к прошлому году 104,</w:t>
      </w:r>
      <w:r w:rsidR="00F27491" w:rsidRPr="00B15A5E">
        <w:rPr>
          <w:rFonts w:ascii="Times New Roman CYR" w:hAnsi="Times New Roman CYR" w:cs="Times New Roman CYR"/>
          <w:sz w:val="28"/>
          <w:szCs w:val="28"/>
        </w:rPr>
        <w:t>4</w:t>
      </w:r>
      <w:r w:rsidR="00C235C1" w:rsidRPr="00B15A5E">
        <w:rPr>
          <w:rFonts w:ascii="Times New Roman CYR" w:hAnsi="Times New Roman CYR" w:cs="Times New Roman CYR"/>
          <w:sz w:val="28"/>
          <w:szCs w:val="28"/>
        </w:rPr>
        <w:t>%</w:t>
      </w:r>
      <w:r w:rsidRPr="00B15A5E">
        <w:rPr>
          <w:rFonts w:ascii="Times New Roman CYR" w:hAnsi="Times New Roman CYR" w:cs="Times New Roman CYR"/>
          <w:sz w:val="28"/>
          <w:szCs w:val="28"/>
        </w:rPr>
        <w:t>.</w:t>
      </w:r>
      <w:r w:rsidRPr="00B15A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5FA6" w:rsidRPr="00B15A5E">
        <w:rPr>
          <w:rFonts w:ascii="Times New Roman CYR" w:hAnsi="Times New Roman CYR" w:cs="Times New Roman CYR"/>
          <w:sz w:val="28"/>
          <w:szCs w:val="28"/>
        </w:rPr>
        <w:t>В 202</w:t>
      </w:r>
      <w:r w:rsidR="00F27491" w:rsidRPr="00B15A5E">
        <w:rPr>
          <w:rFonts w:ascii="Times New Roman CYR" w:hAnsi="Times New Roman CYR" w:cs="Times New Roman CYR"/>
          <w:sz w:val="28"/>
          <w:szCs w:val="28"/>
        </w:rPr>
        <w:t>1</w:t>
      </w:r>
      <w:r w:rsidR="00DF5FA6" w:rsidRPr="00B15A5E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B15A5E" w:rsidRPr="00B15A5E">
        <w:rPr>
          <w:rFonts w:ascii="Times New Roman CYR" w:hAnsi="Times New Roman CYR" w:cs="Times New Roman CYR"/>
          <w:sz w:val="28"/>
          <w:szCs w:val="28"/>
        </w:rPr>
        <w:t>у</w:t>
      </w:r>
      <w:r w:rsidR="00DF5FA6" w:rsidRPr="00B15A5E">
        <w:rPr>
          <w:rFonts w:ascii="Times New Roman CYR" w:hAnsi="Times New Roman CYR" w:cs="Times New Roman CYR"/>
          <w:sz w:val="28"/>
          <w:szCs w:val="28"/>
        </w:rPr>
        <w:t xml:space="preserve"> среднемесячная заработная плата сохранила тенденцию роста практически по всем видам экономической деятельности, исключение составляют лишь виды деятельности «Сельское и лесное хозяйство»</w:t>
      </w:r>
      <w:r w:rsidR="00B15A5E" w:rsidRPr="00B15A5E">
        <w:rPr>
          <w:rFonts w:ascii="Times New Roman CYR" w:hAnsi="Times New Roman CYR" w:cs="Times New Roman CYR"/>
          <w:sz w:val="28"/>
          <w:szCs w:val="28"/>
        </w:rPr>
        <w:t>.</w:t>
      </w:r>
      <w:r w:rsidR="00DF5FA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078A4" w:rsidRPr="00E078A4" w:rsidRDefault="00DF5FA6" w:rsidP="00E07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Размер среднемесячной заработной платы работников предприятий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 организаций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города Боготола в 202</w:t>
      </w:r>
      <w:r w:rsidR="00E078A4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году увеличился на 5,</w:t>
      </w:r>
      <w:r w:rsidR="00E078A4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% по сравнению с уровнем 20</w:t>
      </w:r>
      <w:r w:rsidR="00E078A4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года, и составил 4</w:t>
      </w:r>
      <w:r w:rsidR="00E078A4">
        <w:rPr>
          <w:rFonts w:ascii="Times New Roman CYR" w:hAnsi="Times New Roman CYR" w:cs="Times New Roman CYR"/>
          <w:sz w:val="28"/>
          <w:szCs w:val="28"/>
        </w:rPr>
        <w:t>9 744,35</w:t>
      </w:r>
      <w:r>
        <w:rPr>
          <w:rFonts w:ascii="Times New Roman CYR" w:hAnsi="Times New Roman CYR" w:cs="Times New Roman CYR"/>
          <w:sz w:val="28"/>
          <w:szCs w:val="28"/>
        </w:rPr>
        <w:t xml:space="preserve"> руб. </w:t>
      </w:r>
      <w:r w:rsidR="00E078A4" w:rsidRPr="00E078A4">
        <w:rPr>
          <w:rFonts w:ascii="Times New Roman CYR" w:hAnsi="Times New Roman CYR" w:cs="Times New Roman CYR"/>
          <w:sz w:val="28"/>
          <w:szCs w:val="28"/>
        </w:rPr>
        <w:t>Рост среднемесячной заработной платы в 2021 году обусловлен:</w:t>
      </w:r>
    </w:p>
    <w:p w:rsidR="00E078A4" w:rsidRPr="00F915FB" w:rsidRDefault="00E078A4" w:rsidP="00E078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E078A4">
        <w:rPr>
          <w:rFonts w:ascii="Times New Roman CYR" w:hAnsi="Times New Roman CYR" w:cs="Times New Roman CYR"/>
          <w:sz w:val="28"/>
          <w:szCs w:val="28"/>
        </w:rPr>
        <w:lastRenderedPageBreak/>
        <w:t xml:space="preserve"> повышением </w:t>
      </w:r>
      <w:r w:rsidRPr="00F915FB">
        <w:rPr>
          <w:rFonts w:ascii="Times New Roman CYR" w:hAnsi="Times New Roman CYR" w:cs="Times New Roman CYR"/>
          <w:sz w:val="28"/>
          <w:szCs w:val="28"/>
        </w:rPr>
        <w:t>минимального размера оплаты труда в связи с вступлением в силу Федерального закона № 473-ФЗ от 29.12.2020;</w:t>
      </w:r>
    </w:p>
    <w:p w:rsidR="00E078A4" w:rsidRPr="00F915FB" w:rsidRDefault="00E078A4" w:rsidP="00E078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 в связи с повышением заработной платы работникам бюджетной сферы (выполнение Указов Президента РФ и поручений Губернатора края по отдельным категориям работников).</w:t>
      </w:r>
    </w:p>
    <w:p w:rsidR="00C7217F" w:rsidRPr="00F915FB" w:rsidRDefault="00785CF1" w:rsidP="00E07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Просроченной задолженности по заработной плате на предприятиях города не зарегистрировано.</w:t>
      </w:r>
      <w:r w:rsidR="00504581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15A5E" w:rsidRPr="00F915FB" w:rsidRDefault="001D41EA" w:rsidP="0057736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</w:t>
      </w:r>
      <w:r w:rsidR="00A906C9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результате введенных ограничительных мер, направленных на предотвращение распространения </w:t>
      </w:r>
      <w:proofErr w:type="spellStart"/>
      <w:r w:rsidR="00A906C9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коронавирусной</w:t>
      </w:r>
      <w:proofErr w:type="spellEnd"/>
      <w:r w:rsidR="00A906C9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инфекции, </w:t>
      </w:r>
      <w:r w:rsidR="00B91395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прошедший</w:t>
      </w:r>
      <w:r w:rsidR="00A906C9" w:rsidRPr="00F915FB">
        <w:rPr>
          <w:rFonts w:ascii="Times New Roman" w:eastAsiaTheme="minorHAnsi" w:hAnsi="Times New Roman" w:cs="Times New Roman"/>
          <w:i/>
          <w:iCs/>
          <w:color w:val="000000"/>
          <w:sz w:val="28"/>
          <w:szCs w:val="28"/>
          <w:lang w:eastAsia="en-US"/>
        </w:rPr>
        <w:t xml:space="preserve"> год ознаменовался значительными, непрогнозируемыми изменениями </w:t>
      </w:r>
      <w:r w:rsidR="00A906C9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условий функционирования экономики и социальной сферы. Произошло сокращение конечного спроса и деловой активности. </w:t>
      </w:r>
      <w:r w:rsidR="00A906C9" w:rsidRPr="00F915F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906C9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Неблагоприятная обстановка сложилась на рынке труда. </w:t>
      </w:r>
      <w:r w:rsidR="00B15A5E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Остается стабильным число лиц, официально признанных безработными – на 01.01.2022 г. составляет 1</w:t>
      </w:r>
      <w:r w:rsidR="000270E8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36</w:t>
      </w:r>
      <w:r w:rsidR="00B15A5E"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человек (н</w:t>
      </w:r>
      <w:r w:rsidR="00036FAE" w:rsidRPr="00F915FB">
        <w:rPr>
          <w:rFonts w:ascii="Times New Roman CYR" w:hAnsi="Times New Roman CYR" w:cs="Times New Roman CYR"/>
          <w:sz w:val="28"/>
          <w:szCs w:val="28"/>
        </w:rPr>
        <w:t xml:space="preserve">а 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0</w:t>
      </w:r>
      <w:r w:rsidR="00036FAE" w:rsidRPr="00F915FB">
        <w:rPr>
          <w:rFonts w:ascii="Times New Roman CYR" w:hAnsi="Times New Roman CYR" w:cs="Times New Roman CYR"/>
          <w:sz w:val="28"/>
          <w:szCs w:val="28"/>
        </w:rPr>
        <w:t>1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.01.2021-</w:t>
      </w:r>
      <w:r w:rsidR="00036FAE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235C1" w:rsidRPr="00F915FB">
        <w:rPr>
          <w:rFonts w:ascii="Times New Roman CYR" w:hAnsi="Times New Roman CYR" w:cs="Times New Roman CYR"/>
          <w:sz w:val="28"/>
          <w:szCs w:val="28"/>
        </w:rPr>
        <w:t>331</w:t>
      </w:r>
      <w:r w:rsidR="00B91395" w:rsidRPr="00F915FB"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)</w:t>
      </w:r>
      <w:r w:rsidR="00B91395" w:rsidRPr="00F915FB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уменьшилась</w:t>
      </w:r>
      <w:r w:rsidR="00B91395" w:rsidRPr="00F915FB">
        <w:rPr>
          <w:rFonts w:ascii="Times New Roman CYR" w:hAnsi="Times New Roman CYR" w:cs="Times New Roman CYR"/>
          <w:sz w:val="28"/>
          <w:szCs w:val="28"/>
        </w:rPr>
        <w:t xml:space="preserve"> на 1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71</w:t>
      </w:r>
      <w:r w:rsidR="00B91395" w:rsidRPr="00F915FB">
        <w:rPr>
          <w:rFonts w:ascii="Times New Roman CYR" w:hAnsi="Times New Roman CYR" w:cs="Times New Roman CYR"/>
          <w:sz w:val="28"/>
          <w:szCs w:val="28"/>
        </w:rPr>
        <w:t xml:space="preserve"> человек относительно начала 202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1</w:t>
      </w:r>
      <w:r w:rsidR="00B91395" w:rsidRPr="00F915FB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0270E8" w:rsidRPr="00F915FB">
        <w:rPr>
          <w:rFonts w:ascii="Times New Roman CYR" w:hAnsi="Times New Roman CYR" w:cs="Times New Roman CYR"/>
          <w:sz w:val="28"/>
          <w:szCs w:val="28"/>
        </w:rPr>
        <w:t>С января по декабрь 2021 года было трудоустроено 757 человек, из них 236 безработных граждан.</w:t>
      </w:r>
      <w:r w:rsidR="0057736D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15A5E" w:rsidRPr="00F915FB">
        <w:rPr>
          <w:rFonts w:ascii="Times New Roman CYR" w:hAnsi="Times New Roman CYR" w:cs="Times New Roman CYR"/>
          <w:sz w:val="28"/>
          <w:szCs w:val="28"/>
        </w:rPr>
        <w:t>Н</w:t>
      </w:r>
      <w:r w:rsidR="00B15A5E" w:rsidRPr="00F91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ельзя забывать о том, что центр занятости населения предлагает услуги по профессиональной подготовке и переподготовке – обучено 165 граждан, а также оказывается помощь в открытии собственного дела. Так, в 2021 году поддержка была оказана 22 предпринимателям на общую сумму 4,2 </w:t>
      </w:r>
      <w:proofErr w:type="spellStart"/>
      <w:r w:rsidR="00B15A5E" w:rsidRPr="00F91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млн.рублей</w:t>
      </w:r>
      <w:proofErr w:type="spellEnd"/>
      <w:r w:rsidR="00B15A5E" w:rsidRPr="00F91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Еще одним финансовым инструментом поддержки бизнеса в 2021 году стали выплаты на основании социального контракта на развитие предпринимательской деятельности </w:t>
      </w:r>
      <w:proofErr w:type="gramStart"/>
      <w:r w:rsidR="00B15A5E" w:rsidRPr="00F91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 </w:t>
      </w:r>
      <w:r w:rsidR="0057736D" w:rsidRPr="00F915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самозанятостипри</w:t>
      </w:r>
      <w:r w:rsidR="00B15A5E" w:rsidRPr="00F915FB">
        <w:rPr>
          <w:rFonts w:ascii="Times New Roman" w:hAnsi="Times New Roman"/>
          <w:sz w:val="28"/>
          <w:szCs w:val="28"/>
        </w:rPr>
        <w:t>нято</w:t>
      </w:r>
      <w:proofErr w:type="gramEnd"/>
      <w:r w:rsidR="00B15A5E" w:rsidRPr="00F915FB">
        <w:rPr>
          <w:rFonts w:ascii="Times New Roman" w:hAnsi="Times New Roman"/>
          <w:sz w:val="28"/>
          <w:szCs w:val="28"/>
        </w:rPr>
        <w:t xml:space="preserve"> 13 положительных решений и заключены социальные контракты на общую сумму около 3 </w:t>
      </w:r>
      <w:proofErr w:type="spellStart"/>
      <w:r w:rsidR="00B15A5E" w:rsidRPr="00F915FB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B15A5E" w:rsidRPr="00F915FB">
        <w:rPr>
          <w:rFonts w:ascii="Times New Roman" w:hAnsi="Times New Roman"/>
          <w:sz w:val="28"/>
          <w:szCs w:val="28"/>
        </w:rPr>
        <w:t>.</w:t>
      </w:r>
    </w:p>
    <w:p w:rsidR="00285891" w:rsidRPr="00F915FB" w:rsidRDefault="00B91395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</w:t>
      </w:r>
      <w:r w:rsidR="00285891" w:rsidRPr="00F915FB">
        <w:rPr>
          <w:rFonts w:ascii="Times New Roman CYR" w:hAnsi="Times New Roman CYR" w:cs="Times New Roman CYR"/>
          <w:sz w:val="28"/>
          <w:szCs w:val="28"/>
        </w:rPr>
        <w:t xml:space="preserve">ровень зарегистрированной безработицы (к трудоспособному населению в трудоспособном возрасте) составляет </w:t>
      </w:r>
      <w:r w:rsidR="000270E8" w:rsidRPr="00F915FB">
        <w:rPr>
          <w:rFonts w:ascii="Times New Roman CYR" w:hAnsi="Times New Roman CYR" w:cs="Times New Roman CYR"/>
          <w:sz w:val="28"/>
          <w:szCs w:val="28"/>
        </w:rPr>
        <w:t>1,37</w:t>
      </w:r>
      <w:r w:rsidR="00285891" w:rsidRPr="00F915FB"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:rsidR="007D341E" w:rsidRPr="00F915FB" w:rsidRDefault="007D341E" w:rsidP="007D341E">
      <w:pPr>
        <w:pStyle w:val="ab"/>
        <w:spacing w:after="0"/>
        <w:ind w:firstLine="567"/>
        <w:jc w:val="both"/>
        <w:rPr>
          <w:sz w:val="28"/>
          <w:szCs w:val="28"/>
        </w:rPr>
      </w:pPr>
      <w:r w:rsidRPr="00F915FB">
        <w:rPr>
          <w:sz w:val="28"/>
          <w:szCs w:val="28"/>
        </w:rPr>
        <w:t>Большое внимание уделяется содействию в поиске работы инвалидам, организации общественных работ безработных граждан, находящихся в трудной жизненной ситуации. За 20</w:t>
      </w:r>
      <w:r w:rsidR="002350F2" w:rsidRPr="00F915FB">
        <w:rPr>
          <w:sz w:val="28"/>
          <w:szCs w:val="28"/>
        </w:rPr>
        <w:t>21</w:t>
      </w:r>
      <w:r w:rsidRPr="00F915FB">
        <w:rPr>
          <w:sz w:val="28"/>
          <w:szCs w:val="28"/>
        </w:rPr>
        <w:t xml:space="preserve"> год Центром занятости города Боготола в организации и предприятия города, в том числе муниципальные учреждения, трудоустроено </w:t>
      </w:r>
      <w:r w:rsidR="0057736D" w:rsidRPr="00F915FB">
        <w:rPr>
          <w:sz w:val="28"/>
          <w:szCs w:val="28"/>
        </w:rPr>
        <w:t>160</w:t>
      </w:r>
      <w:r w:rsidRPr="00F915FB">
        <w:rPr>
          <w:sz w:val="28"/>
          <w:szCs w:val="28"/>
        </w:rPr>
        <w:t xml:space="preserve"> инвалидов. </w:t>
      </w:r>
    </w:p>
    <w:p w:rsidR="00C30CF6" w:rsidRPr="00F915FB" w:rsidRDefault="00B52F7C" w:rsidP="00B52F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BB3EE2" w:rsidRPr="00F915FB" w:rsidRDefault="00BB3EE2" w:rsidP="00B52F7C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sz w:val="28"/>
          <w:szCs w:val="28"/>
        </w:rPr>
        <w:t>Промышленность</w:t>
      </w:r>
    </w:p>
    <w:p w:rsidR="00BB3EE2" w:rsidRPr="00F915FB" w:rsidRDefault="00BB3EE2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3EE2" w:rsidRPr="00F915FB" w:rsidRDefault="00BB3EE2" w:rsidP="00BB3E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  <w:r w:rsidRPr="00F915FB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Объем отгруженной продукции по видам деятельности</w:t>
      </w:r>
    </w:p>
    <w:p w:rsidR="00BB3EE2" w:rsidRPr="00F915FB" w:rsidRDefault="00BB3EE2" w:rsidP="00BB3EE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B3EE2" w:rsidRPr="00F915FB" w:rsidRDefault="00BB3EE2" w:rsidP="00BB3E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организаций по 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фактическим видам экономической деятельности в 20</w:t>
      </w:r>
      <w:r w:rsidR="00980258" w:rsidRPr="00F915F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2350F2" w:rsidRPr="00F915FB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</w:t>
      </w:r>
      <w:r w:rsidR="001A3A19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составил </w:t>
      </w:r>
      <w:r w:rsidR="00980258" w:rsidRPr="00F915FB">
        <w:rPr>
          <w:rFonts w:ascii="Times New Roman CYR" w:hAnsi="Times New Roman CYR" w:cs="Times New Roman CYR"/>
          <w:color w:val="000000"/>
          <w:sz w:val="28"/>
          <w:szCs w:val="28"/>
        </w:rPr>
        <w:t>3,2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AD230A" w:rsidRPr="00F915FB">
        <w:rPr>
          <w:rFonts w:ascii="Times New Roman CYR" w:hAnsi="Times New Roman CYR" w:cs="Times New Roman CYR"/>
          <w:color w:val="000000"/>
          <w:sz w:val="28"/>
          <w:szCs w:val="28"/>
        </w:rPr>
        <w:t>рд</w:t>
      </w:r>
      <w:proofErr w:type="spellEnd"/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руб. </w:t>
      </w:r>
    </w:p>
    <w:p w:rsidR="001935E8" w:rsidRPr="00F915FB" w:rsidRDefault="001935E8" w:rsidP="00BB3E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данным статистики объем отгруженной продукции составил за 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20</w:t>
      </w:r>
      <w:r w:rsidR="00980258" w:rsidRPr="00F915F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1935E8" w:rsidRPr="00F915FB" w:rsidRDefault="001935E8" w:rsidP="00BB3E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- по виду деятельности «Обрабатывающее производство» 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>3,1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AD230A" w:rsidRPr="00F915FB">
        <w:rPr>
          <w:rFonts w:ascii="Times New Roman CYR" w:hAnsi="Times New Roman CYR" w:cs="Times New Roman CYR"/>
          <w:color w:val="000000"/>
          <w:sz w:val="28"/>
          <w:szCs w:val="28"/>
        </w:rPr>
        <w:t>рд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>руб</w:t>
      </w:r>
      <w:proofErr w:type="spellEnd"/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(104,8% к 2020 году)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D80015" w:rsidRPr="00F915FB" w:rsidRDefault="001935E8" w:rsidP="004156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915FB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- п</w:t>
      </w:r>
      <w:r w:rsidR="00BB3EE2" w:rsidRPr="00F915FB">
        <w:rPr>
          <w:rFonts w:ascii="Times New Roman CYR" w:hAnsi="Times New Roman CYR" w:cs="Times New Roman CYR"/>
          <w:color w:val="000000"/>
          <w:sz w:val="28"/>
          <w:szCs w:val="28"/>
        </w:rPr>
        <w:t>о виду деятельности «</w:t>
      </w:r>
      <w:r w:rsidR="00D80015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Обеспечение электрической энергией, газом и паром, кондиционирование </w:t>
      </w:r>
      <w:proofErr w:type="gramStart"/>
      <w:r w:rsidR="00D80015" w:rsidRPr="00F915FB">
        <w:rPr>
          <w:rFonts w:ascii="Times New Roman CYR" w:hAnsi="Times New Roman CYR" w:cs="Times New Roman CYR"/>
          <w:color w:val="000000"/>
          <w:sz w:val="28"/>
          <w:szCs w:val="28"/>
        </w:rPr>
        <w:t>воздуха</w:t>
      </w:r>
      <w:r w:rsidR="00BB3EE2" w:rsidRPr="00F915FB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D80015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>3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>43</w:t>
      </w:r>
      <w:proofErr w:type="gramEnd"/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>,3</w:t>
      </w:r>
      <w:r w:rsidR="009A6474" w:rsidRPr="00F915FB">
        <w:rPr>
          <w:rFonts w:ascii="Times New Roman CYR" w:hAnsi="Times New Roman CYR" w:cs="Times New Roman CYR"/>
          <w:color w:val="000000"/>
          <w:sz w:val="28"/>
          <w:szCs w:val="28"/>
        </w:rPr>
        <w:t xml:space="preserve"> млн</w:t>
      </w:r>
      <w:r w:rsidR="00D80015" w:rsidRPr="00F915FB">
        <w:rPr>
          <w:rFonts w:ascii="Times New Roman CYR" w:hAnsi="Times New Roman CYR" w:cs="Times New Roman CYR"/>
          <w:color w:val="000000"/>
          <w:sz w:val="28"/>
          <w:szCs w:val="28"/>
        </w:rPr>
        <w:t>. руб.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</w:rPr>
        <w:t>(111,2% к 2020 году).</w:t>
      </w:r>
    </w:p>
    <w:p w:rsidR="00BB3EE2" w:rsidRPr="00F915FB" w:rsidRDefault="00BB3EE2" w:rsidP="00BB3E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E48E0" w:rsidRPr="00F915FB" w:rsidRDefault="00285891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  <w:r w:rsidR="00CF44A9" w:rsidRPr="00F915FB">
        <w:rPr>
          <w:rFonts w:ascii="Times New Roman CYR" w:hAnsi="Times New Roman CYR" w:cs="Times New Roman CYR"/>
          <w:b/>
          <w:sz w:val="28"/>
          <w:szCs w:val="28"/>
        </w:rPr>
        <w:t>, лесное хозяйство</w:t>
      </w:r>
    </w:p>
    <w:p w:rsidR="00285891" w:rsidRPr="00F915FB" w:rsidRDefault="00285891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5891" w:rsidRPr="00F915FB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На территории города Боготола сельскохозяйственные организации отсутствуют. По причине недостатка свободных земель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</w:rPr>
        <w:t>сельхозназначения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285891" w:rsidRPr="00F915FB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Показатели социально-экономического развития в разделе «Сельское хозяйство» представлены статистическими данными.</w:t>
      </w:r>
    </w:p>
    <w:p w:rsidR="00285891" w:rsidRPr="00F915FB" w:rsidRDefault="00285891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Выращивание овощных культур, картофеля, животноводство (разведение птиц, крупнорогатого скота, свиней) осуществляется исключительно личными подсобными хозяйствами, зарегистрированными на территории города Боготола.</w:t>
      </w:r>
      <w:r w:rsidR="009A6474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A6474" w:rsidRPr="00F915FB" w:rsidRDefault="009A6474" w:rsidP="002858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Валовый сбор основных сельскохозяйственных культур в хозяйствах всех категорий в 20</w:t>
      </w:r>
      <w:r w:rsidR="00980258" w:rsidRPr="00F915FB">
        <w:rPr>
          <w:rFonts w:ascii="Times New Roman CYR" w:hAnsi="Times New Roman CYR" w:cs="Times New Roman CYR"/>
          <w:sz w:val="28"/>
          <w:szCs w:val="28"/>
        </w:rPr>
        <w:t>2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году составил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</w:rPr>
        <w:t xml:space="preserve">4  </w:t>
      </w:r>
      <w:r w:rsidR="00980258" w:rsidRPr="00F915FB">
        <w:rPr>
          <w:rFonts w:ascii="Times New Roman CYR" w:hAnsi="Times New Roman CYR" w:cs="Times New Roman CYR"/>
          <w:sz w:val="28"/>
          <w:szCs w:val="28"/>
        </w:rPr>
        <w:t>710</w:t>
      </w:r>
      <w:proofErr w:type="gramEnd"/>
      <w:r w:rsidR="00980258" w:rsidRPr="00F915FB">
        <w:rPr>
          <w:rFonts w:ascii="Times New Roman CYR" w:hAnsi="Times New Roman CYR" w:cs="Times New Roman CYR"/>
          <w:sz w:val="28"/>
          <w:szCs w:val="28"/>
        </w:rPr>
        <w:t>,3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тонн, в том числе картофеля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2 628 т. (в 2020 году -</w:t>
      </w:r>
      <w:r w:rsidRPr="00F915FB">
        <w:rPr>
          <w:rFonts w:ascii="Times New Roman CYR" w:hAnsi="Times New Roman CYR" w:cs="Times New Roman CYR"/>
          <w:sz w:val="28"/>
          <w:szCs w:val="28"/>
        </w:rPr>
        <w:t>3</w:t>
      </w:r>
      <w:r w:rsidR="00590B6E" w:rsidRPr="00F915FB">
        <w:rPr>
          <w:rFonts w:ascii="Times New Roman CYR" w:hAnsi="Times New Roman CYR" w:cs="Times New Roman CYR"/>
          <w:sz w:val="28"/>
          <w:szCs w:val="28"/>
        </w:rPr>
        <w:t> </w:t>
      </w:r>
      <w:r w:rsidR="00980258" w:rsidRPr="00F915FB">
        <w:rPr>
          <w:rFonts w:ascii="Times New Roman CYR" w:hAnsi="Times New Roman CYR" w:cs="Times New Roman CYR"/>
          <w:sz w:val="28"/>
          <w:szCs w:val="28"/>
        </w:rPr>
        <w:t>413</w:t>
      </w:r>
      <w:r w:rsidR="00590B6E" w:rsidRPr="00F915FB">
        <w:rPr>
          <w:rFonts w:ascii="Times New Roman CYR" w:hAnsi="Times New Roman CYR" w:cs="Times New Roman CYR"/>
          <w:sz w:val="28"/>
          <w:szCs w:val="28"/>
        </w:rPr>
        <w:t>,</w:t>
      </w:r>
      <w:r w:rsidR="00980258" w:rsidRPr="00F915FB">
        <w:rPr>
          <w:rFonts w:ascii="Times New Roman CYR" w:hAnsi="Times New Roman CYR" w:cs="Times New Roman CYR"/>
          <w:sz w:val="28"/>
          <w:szCs w:val="28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т.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)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5CF1" w:rsidRPr="00F915FB">
        <w:rPr>
          <w:rFonts w:ascii="Times New Roman CYR" w:hAnsi="Times New Roman CYR" w:cs="Times New Roman CYR"/>
          <w:sz w:val="28"/>
          <w:szCs w:val="28"/>
        </w:rPr>
        <w:t>и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овощей открытого и закрытого грунта – 1</w:t>
      </w:r>
      <w:r w:rsidR="00590B6E" w:rsidRPr="00F915FB">
        <w:rPr>
          <w:rFonts w:ascii="Times New Roman CYR" w:hAnsi="Times New Roman CYR" w:cs="Times New Roman CYR"/>
          <w:sz w:val="28"/>
          <w:szCs w:val="28"/>
        </w:rPr>
        <w:t> 2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77</w:t>
      </w:r>
      <w:r w:rsidR="00590B6E" w:rsidRPr="00F915FB">
        <w:rPr>
          <w:rFonts w:ascii="Times New Roman CYR" w:hAnsi="Times New Roman CYR" w:cs="Times New Roman CYR"/>
          <w:sz w:val="28"/>
          <w:szCs w:val="28"/>
        </w:rPr>
        <w:t>,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т., что составляет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 xml:space="preserve">77,5% 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90B6E" w:rsidRPr="00F915FB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 xml:space="preserve"> 98,5%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к уровню 20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20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года соответственно.</w:t>
      </w:r>
    </w:p>
    <w:p w:rsidR="00B34E55" w:rsidRPr="00F915FB" w:rsidRDefault="00B34E55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2012B" w:rsidRPr="00F915FB" w:rsidRDefault="0052012B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FB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52012B" w:rsidRPr="00F915FB" w:rsidRDefault="0052012B" w:rsidP="0052012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346" w:rsidRPr="00F915FB" w:rsidRDefault="009173DB" w:rsidP="00414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 </w:t>
      </w:r>
      <w:r w:rsidR="00414346" w:rsidRPr="00F915FB">
        <w:rPr>
          <w:rFonts w:ascii="Times New Roman CYR" w:eastAsia="Times New Roman" w:hAnsi="Times New Roman CYR" w:cs="Times New Roman CYR"/>
          <w:sz w:val="28"/>
          <w:szCs w:val="28"/>
        </w:rPr>
        <w:t>Малое предпринимательство занимает прочное место в структуре экономики города. В сфере малого бизнеса производятся хлеб и мучные кондитерские изделия, цельномолочная продукция, швейные изделия, строительные материалы и заготовки, также предоставляются услуги по восстановлению и оснащению железнодорожных локомотивов, вагонов и прочего подвижного состава и оказывается большой спектр других услуг.</w:t>
      </w:r>
    </w:p>
    <w:p w:rsidR="0034409A" w:rsidRPr="0034409A" w:rsidRDefault="0034409A" w:rsidP="003440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Численность субъектов малого и среднего предпринимательства в расчете на 10 тыс. человек населения по итогам 2021 года составила 177,08 ед., что на 7,7% выше уровня 2020 года. После снятия 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антиковидных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ограничений и восстановления потребительской активности в 2021 году произошел рост количества индивидуальных предпринимателей на территории города – на 9,2% к уровню 2020 года. </w:t>
      </w:r>
    </w:p>
    <w:p w:rsidR="0034409A" w:rsidRPr="0034409A" w:rsidRDefault="0034409A" w:rsidP="003440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Численность 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микропредприятий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в городе, напротив, сократилась в 2021 году, на 12% к уровню 2020 года.  Среди «закрытых» предприятий большую часть (90%) составляют организации, в отношении которых в течение нескольких лет была введена процедура банкротства (ООО «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Боготолмед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», ООО «Полесье», ООО «Гермес»).</w:t>
      </w:r>
    </w:p>
    <w:p w:rsidR="0034409A" w:rsidRPr="0034409A" w:rsidRDefault="0034409A" w:rsidP="003440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Кроме того, в 2021 году предприятие ООО «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Боготольский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вагоноремонтный завод» из статуса «Среднее предприятие» перешло в разряд «Малого предприятия» по причине сокращения численности работников. По итогам 2020 года среднесписочная численность работников ООО «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Боготольский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вагоноремонтный завод» составляла 133 человека, в 2021 году – 95 человек. Снижение численности сотрудников предприятия произошло за </w:t>
      </w:r>
      <w:r w:rsidRPr="0034409A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счет снижения объемов выполняемых работ, в виду отсутствия заключенных контрактов.</w:t>
      </w:r>
    </w:p>
    <w:p w:rsidR="0034409A" w:rsidRPr="0034409A" w:rsidRDefault="0034409A" w:rsidP="0034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4409A">
        <w:rPr>
          <w:rFonts w:ascii="Times New Roman CYR" w:eastAsia="Times New Roman" w:hAnsi="Times New Roman CYR" w:cs="Times New Roman CYR"/>
          <w:sz w:val="28"/>
          <w:szCs w:val="28"/>
        </w:rPr>
        <w:t>Среди вновь зарегистрированных субъектов малого предпринимательства наибольшая доля приходится на сферу торговли – 48%, на деятельность, связанную с перевозками – 10%, на сферу строительства – 7,6%, из числа вновь созданных хозяйствующих субъектов, на долю обрабатывающего производства приходится лишь 5%.</w:t>
      </w:r>
    </w:p>
    <w:p w:rsidR="0034409A" w:rsidRPr="0034409A" w:rsidRDefault="0034409A" w:rsidP="003440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4409A">
        <w:rPr>
          <w:rFonts w:ascii="Times New Roman CYR" w:eastAsia="Times New Roman" w:hAnsi="Times New Roman CYR" w:cs="Times New Roman CYR"/>
          <w:sz w:val="28"/>
          <w:szCs w:val="28"/>
        </w:rPr>
        <w:t>Число субъектов малого и среднего предпринимательства на 10 тыс. человек населения в период с 2022 по 2024 годы составит от 182,58 ед. до 193,15 ед. соответственно. Рост показателя в прогнозируемом периоде объясняется, главным образом, сокращением численности населения города и увеличением количества индивидуальных предпринимателей прежде всего за счет реализации мер поддержки, предоставляемой администрацией города Боготола, КГКУ «Центр занятости населения города Боготола</w:t>
      </w:r>
      <w:proofErr w:type="gram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»,   </w:t>
      </w:r>
      <w:proofErr w:type="gram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         территориальным отделением краевого государственного казенного учреждения «Управление социальной защиты населения» по 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г.Боготолу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и </w:t>
      </w:r>
      <w:proofErr w:type="spellStart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>Боготольскому</w:t>
      </w:r>
      <w:proofErr w:type="spellEnd"/>
      <w:r w:rsidRPr="0034409A">
        <w:rPr>
          <w:rFonts w:ascii="Times New Roman CYR" w:eastAsia="Times New Roman" w:hAnsi="Times New Roman CYR" w:cs="Times New Roman CYR"/>
          <w:sz w:val="28"/>
          <w:szCs w:val="28"/>
        </w:rPr>
        <w:t xml:space="preserve"> району Красноярского края.</w:t>
      </w:r>
    </w:p>
    <w:p w:rsidR="00414346" w:rsidRPr="00F915FB" w:rsidRDefault="00414346" w:rsidP="00414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Сектор малого бизнеса не является определяющим на рынке труда, но играет важную роль в трудоустройстве городского населения. Численность занятых в сфере малого и среднего предпринимательства на 01.01.2022 года составила 1 184 человек, доля численности работников малых и средних организаций в общей численности работников всех организаций в 2021 году составила 16,32% (в 2019 году – 16,90%). Данные для расчета показателя представлены ниже в таблице. Снижение показателя обусловлено сокращением рабочих мест на предприятии ООО «</w:t>
      </w:r>
      <w:proofErr w:type="spellStart"/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Боготольский</w:t>
      </w:r>
      <w:proofErr w:type="spellEnd"/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вагоноремонтный завод» (</w:t>
      </w:r>
      <w:r w:rsidRPr="00F915FB">
        <w:rPr>
          <w:rFonts w:ascii="Times New Roman CYR" w:eastAsia="Times New Roman" w:hAnsi="Times New Roman CYR" w:cs="Times New Roman CYR"/>
          <w:sz w:val="28"/>
          <w:szCs w:val="28"/>
        </w:rPr>
        <w:t>на 28,4% к уровню 2020 года) по причине увольнения сотрудников по собственному желанию в связи с сокращением объемов работ, выполняемых предприятием и как следствие уменьшением заработной платы, по аналогичной причине произошло сокращение численности работников на предприятии ООО ДПМК «</w:t>
      </w:r>
      <w:proofErr w:type="spellStart"/>
      <w:r w:rsidRPr="00F915FB">
        <w:rPr>
          <w:rFonts w:ascii="Times New Roman CYR" w:eastAsia="Times New Roman" w:hAnsi="Times New Roman CYR" w:cs="Times New Roman CYR"/>
          <w:sz w:val="28"/>
          <w:szCs w:val="28"/>
        </w:rPr>
        <w:t>Боготольская</w:t>
      </w:r>
      <w:proofErr w:type="spellEnd"/>
      <w:r w:rsidRPr="00F915FB">
        <w:rPr>
          <w:rFonts w:ascii="Times New Roman CYR" w:eastAsia="Times New Roman" w:hAnsi="Times New Roman CYR" w:cs="Times New Roman CYR"/>
          <w:sz w:val="28"/>
          <w:szCs w:val="28"/>
        </w:rPr>
        <w:t xml:space="preserve">» (на 44% к уровню 2020 года, численность работников организации в 2020 году составляла 50 человек, в 2021 году – 28 человек). </w:t>
      </w:r>
    </w:p>
    <w:p w:rsidR="00414346" w:rsidRPr="00F915FB" w:rsidRDefault="00414346" w:rsidP="00414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F915FB">
        <w:rPr>
          <w:rFonts w:ascii="Times New Roman CYR" w:eastAsia="Times New Roman" w:hAnsi="Times New Roman CYR" w:cs="Times New Roman CYR"/>
          <w:sz w:val="28"/>
          <w:szCs w:val="28"/>
        </w:rPr>
        <w:t xml:space="preserve">Увеличение </w:t>
      </w:r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доли численности работников малых и средних организаций в общей численности работников всех организаций (с 16,32% до 16,5%) в период 2022 -2024 годы обусловлено ростом среднесписочной численности работников, занятых трудом у индивидуальных предпринимателей.</w:t>
      </w:r>
    </w:p>
    <w:p w:rsidR="00414346" w:rsidRPr="00F915FB" w:rsidRDefault="00414346" w:rsidP="00414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4531"/>
        <w:gridCol w:w="960"/>
        <w:gridCol w:w="960"/>
        <w:gridCol w:w="960"/>
        <w:gridCol w:w="960"/>
        <w:gridCol w:w="960"/>
      </w:tblGrid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Наименование показателя и единицы измерения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Значения показателя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2020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2021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2022 оценка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2023 прогноз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2024 прогноз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 xml:space="preserve">1. Количество малых и </w:t>
            </w:r>
            <w:proofErr w:type="spellStart"/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микропредприятий</w:t>
            </w:r>
            <w:proofErr w:type="spellEnd"/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55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2. Количество средних предприятий,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lastRenderedPageBreak/>
              <w:t>3. Количество индивидуальных предпринимателей,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285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ind w:firstLine="220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3.1. в том числе количество крестьянско-фермерских хозяйств,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 xml:space="preserve">4. Численность постоянного населения муниципального, городского округа (муниципального района) </w:t>
            </w: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C00000"/>
              </w:rPr>
              <w:t>на</w:t>
            </w: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 xml:space="preserve"> </w:t>
            </w: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C00000"/>
              </w:rPr>
              <w:t>конец отчетного года</w:t>
            </w: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, 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19 218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18 805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18 403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17 991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17 603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5. Число субъектов малого и среднего предпринимательства, ед. на 10 000 чел. ((стр.1+стр.2+стр.</w:t>
            </w:r>
            <w:proofErr w:type="gramStart"/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3)/</w:t>
            </w:r>
            <w:proofErr w:type="gramEnd"/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стр.4*10 000)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177,08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182,58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187,87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193,15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 xml:space="preserve">6. Среднесписочная численность работников малых и </w:t>
            </w:r>
            <w:proofErr w:type="spellStart"/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микропредприятий</w:t>
            </w:r>
            <w:proofErr w:type="spellEnd"/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, 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538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7. 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348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ind w:firstLine="220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7.1. в том числе в крестьянско-фермерских хозяйствах, 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8. Среднесписочная численность работников средних предприятий, 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0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 xml:space="preserve">9. Среднесписочная численность работников (без внешних совместителей) крупных и средних предприятий и некоммерческих организаций (без субъектов малого предпринимательства), чел.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6 134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6 070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6 018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5 973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color w:val="000000"/>
              </w:rPr>
              <w:t>5 928</w:t>
            </w:r>
          </w:p>
        </w:tc>
      </w:tr>
      <w:tr w:rsidR="00414346" w:rsidRPr="00F915FB" w:rsidTr="00414346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10.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((стр.3+стр.6+стр.7+стр.8 / (стр.3+стр.6+стр.7+стр.</w:t>
            </w:r>
            <w:proofErr w:type="gramStart"/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9)*</w:t>
            </w:r>
            <w:proofErr w:type="gramEnd"/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14346" w:rsidRPr="00F915FB" w:rsidRDefault="00414346" w:rsidP="00414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</w:pPr>
            <w:r w:rsidRPr="00F915FB">
              <w:rPr>
                <w:rFonts w:ascii="Times New Roman CYR" w:eastAsia="Times New Roman" w:hAnsi="Times New Roman CYR" w:cs="Times New Roman CYR"/>
                <w:b/>
                <w:bCs/>
                <w:color w:val="000000"/>
              </w:rPr>
              <w:t>16,50</w:t>
            </w:r>
          </w:p>
        </w:tc>
      </w:tr>
    </w:tbl>
    <w:p w:rsidR="007E3A86" w:rsidRPr="00F915FB" w:rsidRDefault="007E3A86" w:rsidP="0052012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077" w:rsidRPr="00F915FB" w:rsidRDefault="005C4077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15FB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5C4077" w:rsidRPr="00F915FB" w:rsidRDefault="005C4077" w:rsidP="005C4077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(за исключением бюджетных средств) в расчете на 1 жителя по городу Боготолу по итогам 2021 года увеличился на 8,6% относительно уровня 2020 года и составил 4 111,78 рублей.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По итогам 2021 года объем инвестиций в основной капитал города за счет всех источников финансирования оценивается в размере 267 518,0 тыс. рублей, темп роста в действующих ценах, к соответствующему периоду 2020 года составил 73,18%, темп роста в сопоставимых ценах, к соответствующему периоду предыдущего года, составил 68,13%. Объем инвестиций в основной капитал за счет бюджетных средств по итогам 2021 года сократился на 35% к уровню 2020 года и составил 189 349,0 тыс. рублей.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Уменьшение значения показателя произошло за счет сокращения размера инвестиций в области образования (в 2020 году инвестиции в области образования составляли – 232 346,0 тыс. руб., в 2021 году – 130 063,0 тыс. руб.). Следует отметить, что удельный вес объема инвестиций по отрасли </w:t>
      </w:r>
      <w:r w:rsidRPr="00F915FB">
        <w:rPr>
          <w:rFonts w:ascii="Times New Roman CYR" w:hAnsi="Times New Roman CYR" w:cs="Times New Roman CYR"/>
          <w:sz w:val="28"/>
          <w:szCs w:val="28"/>
        </w:rPr>
        <w:lastRenderedPageBreak/>
        <w:t>образования в структуре общего объема инвестиций в 2021 году составляет 48,6%. Это связано со строительством общеобразовательной школы в городе на 550 мест, которое ведется с 2019 года, в 2021 году начался завершающий этап. Срок ввода объекта в эксплуатацию – 01.09.2022 года.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Кроме того, в структуре общего объема инвестиций в основной капитал за 2021 год значительный удельный вес приходится на отрасль культуры – 15,2%, который объясняется приобретением отдельно стоящего здания для Центральной библиотеки им. А.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</w:rPr>
        <w:t>Ероховца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</w:rPr>
        <w:t xml:space="preserve"> площадью 275 кв. м. 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Удельный вес объема инвестиций в сфере здравоохранения в 2021 году составил 11,1%. В отчетном году стоматологическое отделение переведено в помещение, расположенное по адресу: г. Боготол, ул. Комсомольская, д. 16. В помещении произведен косметический ремонт.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После снятия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</w:rPr>
        <w:t>антиковидных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</w:rPr>
        <w:t xml:space="preserve"> ограничений и восстановления потребительской активности в 2021 году произошло увеличение роста объема инвестиций в сфере торговли в 3 раза к уровню 2020 года.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 оценочном и прогнозном периоде финансовые вливания планируются за счет текущих потребностей и с учетом выделения средств краевого бюджета согласно закона Красноярского края «О краевом бюджете на 2022 год и плановый период 2023-2024 годов» от 09.12.2021 № 2-255.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 2022 году в городе Боготоле завершится строительство общеобразовательной школы на 550 учащихся в рамках государственной программы Красноярского края «Развитие образования», размер инвестиций по данному направлению составит 8 176,3 тыс. руб.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В рамках государственной программы Красноярского края «Развитие физической культуры и спорта» в 2022 году планируется осуществить строительство физкультурно-оздоровительного комплекса с бассейном в городе Боготоле (размер инвестиций составит 282 124,7 тыс. руб.).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Кроме того, в рамках государственной программы Красноярского края «Реформирование и модернизация ЖКХ и повышение энергетической эффективности» планируется строительство очистных сооружений канализации производительностью 1000 м</w:t>
      </w:r>
      <w:r w:rsidRPr="00F915FB">
        <w:rPr>
          <w:rFonts w:ascii="Times New Roman CYR" w:hAnsi="Times New Roman CYR" w:cs="Times New Roman CYR"/>
          <w:sz w:val="28"/>
          <w:szCs w:val="28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</w:rPr>
        <w:t>/сутки в городе Боготоле (размер инвестиций в 2022 году составит 61 200,0 тыс. руб.)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Расчет показателя «Объем инвестиций в основной капитал (за исключением бюджетных средств) в расчете на 1 жителя представлен в таблице: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Расчет итогового показателя за 2021 год и плановый период 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2022-2024 годы:</w:t>
      </w:r>
    </w:p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6"/>
        <w:gridCol w:w="1275"/>
        <w:gridCol w:w="1277"/>
        <w:gridCol w:w="1418"/>
        <w:gridCol w:w="1275"/>
      </w:tblGrid>
      <w:tr w:rsidR="002350F2" w:rsidRPr="00F915FB" w:rsidTr="002350F2">
        <w:trPr>
          <w:trHeight w:val="27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2020</w:t>
            </w:r>
          </w:p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2021</w:t>
            </w:r>
          </w:p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2022 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2023 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2024</w:t>
            </w:r>
          </w:p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прогноз</w:t>
            </w:r>
          </w:p>
        </w:tc>
      </w:tr>
      <w:tr w:rsidR="002350F2" w:rsidRPr="00F915FB" w:rsidTr="002350F2">
        <w:trPr>
          <w:trHeight w:val="7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Объем инвестиций в основной капитал - всего,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365 586,0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267 518,0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433 735,0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285 161,9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298 849,7</w:t>
            </w:r>
          </w:p>
        </w:tc>
      </w:tr>
      <w:tr w:rsidR="002350F2" w:rsidRPr="00F915FB" w:rsidTr="002350F2">
        <w:trPr>
          <w:trHeight w:val="51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i/>
                <w:iCs/>
              </w:rPr>
              <w:lastRenderedPageBreak/>
              <w:t>Темп роста в действующих ценах, к соответствующему периоду предыдущего года,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73,18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533,57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104,8</w:t>
            </w:r>
          </w:p>
        </w:tc>
      </w:tr>
      <w:tr w:rsidR="002350F2" w:rsidRPr="00F915FB" w:rsidTr="002350F2">
        <w:trPr>
          <w:trHeight w:val="51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i/>
                <w:iCs/>
              </w:rPr>
              <w:t>Темп роста в сопоставимых ценах, к соответствующему периоду предыдущего года,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68,13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</w:t>
            </w:r>
          </w:p>
        </w:tc>
      </w:tr>
      <w:tr w:rsidR="002350F2" w:rsidRPr="00F915FB" w:rsidTr="002350F2">
        <w:trPr>
          <w:trHeight w:val="51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</w:rPr>
              <w:t>Инвестиции в основной капитал за счет бюджетных средств,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292 129,0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189 349,0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351 501,0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198 816,5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208 359,6</w:t>
            </w:r>
          </w:p>
        </w:tc>
      </w:tr>
      <w:tr w:rsidR="002350F2" w:rsidRPr="00F915FB" w:rsidTr="002350F2">
        <w:trPr>
          <w:trHeight w:val="3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</w:rPr>
              <w:t>Объем инвестиций без бюджетных средств,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73 457,0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78 169,0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82 234,0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86 345,4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90 490,1</w:t>
            </w:r>
          </w:p>
        </w:tc>
      </w:tr>
      <w:tr w:rsidR="002350F2" w:rsidRPr="00F915FB" w:rsidTr="002350F2">
        <w:trPr>
          <w:trHeight w:val="7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Среднегодовая численность населения,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19 397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19 011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18 604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18 197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17 797</w:t>
            </w:r>
          </w:p>
        </w:tc>
      </w:tr>
      <w:tr w:rsidR="002350F2" w:rsidRPr="00F915FB" w:rsidTr="002350F2">
        <w:trPr>
          <w:trHeight w:val="70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Объем инвестиций (без бюджетных средств) на 1 жителя,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3 787,03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4 111,78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4 420,23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4 745,03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0F2" w:rsidRPr="00F915FB" w:rsidRDefault="002350F2" w:rsidP="00235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15FB">
              <w:rPr>
                <w:rFonts w:ascii="Times New Roman CYR" w:hAnsi="Times New Roman CYR" w:cs="Times New Roman CYR"/>
                <w:sz w:val="24"/>
                <w:szCs w:val="24"/>
              </w:rPr>
              <w:t>5 084,57</w:t>
            </w:r>
          </w:p>
        </w:tc>
      </w:tr>
    </w:tbl>
    <w:p w:rsidR="002350F2" w:rsidRPr="00F915FB" w:rsidRDefault="002350F2" w:rsidP="002350F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E48E0" w:rsidRPr="00F915FB" w:rsidRDefault="001124D6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sz w:val="28"/>
          <w:szCs w:val="28"/>
        </w:rPr>
        <w:t>Строительство</w:t>
      </w:r>
    </w:p>
    <w:p w:rsidR="001124D6" w:rsidRPr="00F915FB" w:rsidRDefault="001124D6" w:rsidP="001124D6">
      <w:pPr>
        <w:autoSpaceDE w:val="0"/>
        <w:autoSpaceDN w:val="0"/>
        <w:adjustRightInd w:val="0"/>
        <w:spacing w:after="0" w:line="240" w:lineRule="auto"/>
        <w:ind w:left="140" w:firstLine="56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Объем ввода жилья в городе стабильно растет. По итогам 2021 года в Боготоле было введено 7,6 тыс. кв. метров жилья. 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Несмотря на то, что на территории города Боготола показатель «общая площадь жилых помещений, приходящаяся в среднем</w:t>
      </w: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br/>
        <w:t>на одного жителя» составляет 28,0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кв. м, существуют проблемы, обеспечивающие комфортное проживание граждан. Так, доля аварийного жилищного фонда в городе Боготоле составляет 7,</w:t>
      </w:r>
      <w:r w:rsidRPr="00F915FB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5</w:t>
      </w: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% от общего жилищного фонда муниципального образования.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На протяжении многих лет капитальный ремонт жилищного фонда в муниципальном образовании практически не производился, что еще больше усилило процесс ветшания жилищного фонда.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Ввиду несоответствия требованиям, предъявляемым к жилым помещениям, аварийное жилье не только не обеспечивает комфортное проживание граждан, но и создает угрозу для жизни и здоровья, проживающих в нем людей.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Уровень цен на жилые помещения, недостаток бюджетных средств и отсутствие доступного финансово-кредитного механизма не позволяют большинству граждан, проживающих в аварийных домах, самостоятельно приобрести или получить на условиях найма жилые помещения удовлетворительного качества.</w:t>
      </w:r>
    </w:p>
    <w:p w:rsidR="00B94A4A" w:rsidRPr="00F915FB" w:rsidRDefault="00B94A4A" w:rsidP="00B94A4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В реестре многоквартирных домов, признанных в установленном порядке аварийными и включенных в Программу Переселения числится 162 дома- общей площадью 38,8 тысяч </w:t>
      </w:r>
      <w:proofErr w:type="spellStart"/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кв.метров</w:t>
      </w:r>
      <w:proofErr w:type="spellEnd"/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(988 жилых помещений, из них: 613 жилых помещений находятся в частной собственности, 375 жилых помещений – муниципальная собственность). </w:t>
      </w:r>
    </w:p>
    <w:p w:rsidR="00B94A4A" w:rsidRPr="00F915FB" w:rsidRDefault="00B94A4A" w:rsidP="00B94A4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По способам переселения граждан из жилья, признанного аварийным и подлежащим сносу, участие муниципального образования город Боготол по способам расселения: приобретение жилых помещений у лиц, не являющихся </w:t>
      </w: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lastRenderedPageBreak/>
        <w:t xml:space="preserve">застройщиками, выкуп жилых помещений у собственников, строительство многоквартирных домов на территории города. </w:t>
      </w:r>
    </w:p>
    <w:p w:rsidR="00B94A4A" w:rsidRPr="00F915FB" w:rsidRDefault="00B94A4A" w:rsidP="00B94A4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Расселение аварийного жилищного фонда города Боготола в рамках Программы условно разбито на 6 этапов.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По итогам 2021 года было введено в эксплуатацию 7 636 кв. м жилой площади, из которой: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5 635 кв. м жилой площади, находящейся в многоквартирных жилых домах (введено в эксплуатацию 2 многоквартирных дома, один дом, расположенный по адресу: </w:t>
      </w:r>
      <w:proofErr w:type="spellStart"/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г.Боготол</w:t>
      </w:r>
      <w:proofErr w:type="spellEnd"/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, ул. Ефремова, д.7В, построен в рамках реализации региональной адресной программы «Переселение граждан из аварийного жилищного фонда в Красноярском крае на 2019-2025 годы» и второй дом, расположенный по адресу: г. Боготол, ул. Деповская, д. 14 построен за счет собственных средств застройщика);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2 001 кв. м общей площади индивидуальных жилых домов (18 вновь построенных жилых домов, а также 20 реконструированных индивидуальных жилых домов), построенных населением за свой счет, а также с использованием средств материнского капитала.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Общая площадь всего жилищного фонда года Боготола на конец 2021 года составляет 526,9 тыс. кв. м.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В 2021 году площадь земельных участков, предоставленных для строительства составила 3,6 га, из них: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- 2,0 га для жилищного строительства:</w:t>
      </w:r>
    </w:p>
    <w:p w:rsidR="002350F2" w:rsidRPr="00F915FB" w:rsidRDefault="00B94A4A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- </w:t>
      </w:r>
      <w:r w:rsidR="002350F2"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0,5 га – для строительства индивидуальных жилых домов на приусадебном земельном участке, предоставленном для ведения личного подсобного хозяйства;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  </w:t>
      </w:r>
      <w:r w:rsidR="00B94A4A"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-</w:t>
      </w: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>1,5 га – для индивидуального жилищного строительства, из которых 0,5 га предоставлено многодетным семьям в собственность в соответствии с п. 2 ст. 29.2 Закона Красноярского края № 7-2542 «О регулировании земельных</w:t>
      </w:r>
      <w:r w:rsidR="00B94A4A"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 отношений в Красноярском крае»;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4"/>
          <w:szCs w:val="24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- 1,6 га для строительства объектов, не являющихся объектами жилищного строительства (магазины, склады, гаражи). </w:t>
      </w:r>
    </w:p>
    <w:p w:rsidR="002350F2" w:rsidRPr="00F915FB" w:rsidRDefault="002350F2" w:rsidP="002350F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Calibri" w:hAnsi="Times New Roman CYR" w:cs="Times New Roman CYR"/>
          <w:sz w:val="28"/>
          <w:szCs w:val="28"/>
          <w:u w:color="FF0000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u w:color="FF0000"/>
          <w:lang w:eastAsia="en-US"/>
        </w:rPr>
        <w:t xml:space="preserve">Значение показателя «Площадь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в расчете на 10 тыс. человек населения» в 2021 году составило – 1,05 га. </w:t>
      </w:r>
    </w:p>
    <w:p w:rsidR="002350F2" w:rsidRPr="00F915FB" w:rsidRDefault="002350F2" w:rsidP="002350F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Испытывая острую потребность в строительстве на территории города объекта в сфере образования в 2019 году начато строительство объекта «Средняя общеобразовательная школы на 550 учащихся». За 2019 -2021 гг. было   освоено 439,2 млн. </w:t>
      </w:r>
      <w:proofErr w:type="gramStart"/>
      <w:r w:rsidRPr="00F915FB">
        <w:rPr>
          <w:rFonts w:ascii="Times New Roman" w:hAnsi="Times New Roman" w:cs="Times New Roman"/>
          <w:sz w:val="28"/>
          <w:szCs w:val="28"/>
        </w:rPr>
        <w:t>рублей.,</w:t>
      </w:r>
      <w:proofErr w:type="gramEnd"/>
      <w:r w:rsidRPr="00F915FB">
        <w:rPr>
          <w:rFonts w:ascii="Times New Roman" w:hAnsi="Times New Roman" w:cs="Times New Roman"/>
          <w:sz w:val="28"/>
          <w:szCs w:val="28"/>
        </w:rPr>
        <w:t xml:space="preserve"> в 2022 году будет завершено строительство школы, объем финансирования на завершение работ с учетом дополнительных средств, выделенных на удорожание строительных ресурсов составит 60,2 млн. рублей. </w:t>
      </w:r>
    </w:p>
    <w:p w:rsidR="002350F2" w:rsidRPr="00F915FB" w:rsidRDefault="002350F2" w:rsidP="002350F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>Строительство «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 xml:space="preserve"> – оздоровительный комплекс с бассейном в г. Боготоле». Объем финансирования составит 378 с половиной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 xml:space="preserve">, </w:t>
      </w:r>
      <w:r w:rsidRPr="00F915FB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 освоено в 2019-2021 годы 100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 xml:space="preserve">, остальные </w:t>
      </w:r>
      <w:proofErr w:type="gramStart"/>
      <w:r w:rsidRPr="00F915FB">
        <w:rPr>
          <w:rFonts w:ascii="Times New Roman" w:hAnsi="Times New Roman" w:cs="Times New Roman"/>
          <w:sz w:val="28"/>
          <w:szCs w:val="28"/>
        </w:rPr>
        <w:t>278  с</w:t>
      </w:r>
      <w:proofErr w:type="gramEnd"/>
      <w:r w:rsidRPr="00F915FB">
        <w:rPr>
          <w:rFonts w:ascii="Times New Roman" w:hAnsi="Times New Roman" w:cs="Times New Roman"/>
          <w:sz w:val="28"/>
          <w:szCs w:val="28"/>
        </w:rPr>
        <w:t xml:space="preserve"> половиной млн. в 2022 году.</w:t>
      </w:r>
    </w:p>
    <w:p w:rsidR="002350F2" w:rsidRPr="00F915FB" w:rsidRDefault="002350F2" w:rsidP="002350F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В целях размещения объектов жилищного строительства на территории микрорайона «Южный» изготовлен проект планировки и проект межевания. На 2-ух земельных участках планируется размещение 3-ех МКД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среднеэтажной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 xml:space="preserve"> застройки (до 5 этажей) с объемом жилищного строительства 10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>. Строительство МКД предусмотрено за счет реализации программы переселения граждан из аварийного жилищного фонда.</w:t>
      </w:r>
    </w:p>
    <w:p w:rsidR="002350F2" w:rsidRPr="00F915FB" w:rsidRDefault="002350F2" w:rsidP="002350F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>Подготовлены проекты планировки и проект межевания жилого квартала, ограниченного ул. Кирова и ул. Советская и жилого квартала по ул. Сибирская.</w:t>
      </w:r>
    </w:p>
    <w:p w:rsidR="002350F2" w:rsidRPr="00F915FB" w:rsidRDefault="002350F2" w:rsidP="00235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В течении 2021 года получили и улучшили жилые помещения 20 семей.</w:t>
      </w:r>
    </w:p>
    <w:p w:rsidR="002350F2" w:rsidRPr="00F915FB" w:rsidRDefault="002350F2" w:rsidP="00235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-по подпрограмме «Улучшение жилищных условий отдельных категорий граждан» было приобретено 1 жилое помещение;  </w:t>
      </w:r>
    </w:p>
    <w:p w:rsidR="002350F2" w:rsidRPr="00F915FB" w:rsidRDefault="002350F2" w:rsidP="00235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- по договору найма жилого помещения -19 жилых помещения, в том числе для детей-сирот и детей, оставшихся без попечения родителей – 9;</w:t>
      </w:r>
    </w:p>
    <w:p w:rsidR="002350F2" w:rsidRPr="00F915FB" w:rsidRDefault="002350F2" w:rsidP="00235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За 2021 год заключено 165 договоров социального найма жилого помещения; 10 – договоров найма маневренного фонда. </w:t>
      </w:r>
    </w:p>
    <w:p w:rsidR="002350F2" w:rsidRPr="00F915FB" w:rsidRDefault="002350F2" w:rsidP="00235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Снято с учета в качестве нуждающихся в жилом помещении по договору социального найма – 25 семей.</w:t>
      </w:r>
    </w:p>
    <w:p w:rsidR="002350F2" w:rsidRPr="00F915FB" w:rsidRDefault="002350F2" w:rsidP="002350F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подпрограммы </w:t>
      </w:r>
      <w:r w:rsidRPr="00F915F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 с 2008 года улучшили свои жилищные условия 62 молодых семей. </w:t>
      </w:r>
    </w:p>
    <w:p w:rsidR="0051480C" w:rsidRPr="00F915FB" w:rsidRDefault="0051480C" w:rsidP="0051480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C4C12" w:rsidRPr="00F915FB" w:rsidRDefault="000C4C12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ind w:right="-1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sz w:val="28"/>
          <w:szCs w:val="28"/>
        </w:rPr>
        <w:t>Бюджет муниципального образования</w:t>
      </w:r>
    </w:p>
    <w:p w:rsidR="000C4C12" w:rsidRPr="00F915FB" w:rsidRDefault="000C4C12" w:rsidP="00B61BB1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535F8" w:rsidRPr="00F915FB" w:rsidRDefault="004535F8" w:rsidP="004535F8">
      <w:pPr>
        <w:tabs>
          <w:tab w:val="left" w:pos="1080"/>
        </w:tabs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В первоначальной редакции доходы бюджета на 2021 год были утверждены в сумме 850 054,7 тыс. рублей, в том числе налоговые и неналоговые доходы 170 099,5 тыс. рублей.</w:t>
      </w:r>
    </w:p>
    <w:p w:rsidR="004535F8" w:rsidRPr="00F915FB" w:rsidRDefault="004535F8" w:rsidP="004535F8">
      <w:pPr>
        <w:tabs>
          <w:tab w:val="left" w:pos="1080"/>
        </w:tabs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доходы бюджета увеличены в общей сумме на 335 372,6 тыс. рублей и утверждены Решением </w:t>
      </w:r>
      <w:proofErr w:type="spellStart"/>
      <w:r w:rsidRPr="00F915FB">
        <w:rPr>
          <w:rFonts w:ascii="Times New Roman" w:eastAsia="Times New Roman" w:hAnsi="Times New Roman" w:cs="Times New Roman"/>
          <w:sz w:val="28"/>
          <w:szCs w:val="28"/>
        </w:rPr>
        <w:t>Боготольского</w:t>
      </w:r>
      <w:proofErr w:type="spellEnd"/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 городского Совета депутатов в сумме 1 185 427,3 тыс. рублей, в том числе налоговые и неналоговые доходы 167 178,5 тыс. рублей.</w:t>
      </w:r>
    </w:p>
    <w:p w:rsidR="004535F8" w:rsidRPr="00F915FB" w:rsidRDefault="004535F8" w:rsidP="004535F8">
      <w:pPr>
        <w:tabs>
          <w:tab w:val="left" w:pos="108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поступление доходов бюджета за 2021 год составило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1 158 745,4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тыс. рублей, бюджетные назначения исполнены на 97,6 процента. </w:t>
      </w:r>
    </w:p>
    <w:p w:rsidR="004535F8" w:rsidRPr="00F915FB" w:rsidRDefault="004535F8" w:rsidP="004535F8">
      <w:pPr>
        <w:tabs>
          <w:tab w:val="left" w:pos="1080"/>
        </w:tabs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Укрупненная структура доходов выглядит следующим образом:</w:t>
      </w:r>
    </w:p>
    <w:p w:rsidR="004535F8" w:rsidRPr="00F915FB" w:rsidRDefault="004535F8" w:rsidP="004535F8">
      <w:pPr>
        <w:tabs>
          <w:tab w:val="left" w:pos="1080"/>
        </w:tabs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915FB">
        <w:rPr>
          <w:rFonts w:ascii="Times New Roman" w:eastAsia="Times New Roman" w:hAnsi="Times New Roman" w:cs="Times New Roman"/>
          <w:sz w:val="24"/>
          <w:szCs w:val="24"/>
        </w:rPr>
        <w:t xml:space="preserve"> (тыс. рублей)</w:t>
      </w:r>
    </w:p>
    <w:tbl>
      <w:tblPr>
        <w:tblW w:w="9606" w:type="dxa"/>
        <w:tblCellSpacing w:w="144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268"/>
        <w:gridCol w:w="1701"/>
        <w:gridCol w:w="1560"/>
        <w:gridCol w:w="1701"/>
      </w:tblGrid>
      <w:tr w:rsidR="004535F8" w:rsidRPr="00F915FB" w:rsidTr="00414346">
        <w:trPr>
          <w:trHeight w:val="1274"/>
          <w:tblCellSpacing w:w="1440" w:type="nil"/>
        </w:trPr>
        <w:tc>
          <w:tcPr>
            <w:tcW w:w="2376" w:type="dxa"/>
            <w:vAlign w:val="center"/>
          </w:tcPr>
          <w:p w:rsidR="004535F8" w:rsidRPr="00F915FB" w:rsidRDefault="004535F8" w:rsidP="0045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</w:t>
            </w:r>
          </w:p>
        </w:tc>
        <w:tc>
          <w:tcPr>
            <w:tcW w:w="2268" w:type="dxa"/>
            <w:vAlign w:val="center"/>
          </w:tcPr>
          <w:p w:rsidR="004535F8" w:rsidRPr="00F915FB" w:rsidRDefault="004535F8" w:rsidP="004535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Учтено в бюджете (в первонач. редакции)</w:t>
            </w:r>
          </w:p>
        </w:tc>
        <w:tc>
          <w:tcPr>
            <w:tcW w:w="1701" w:type="dxa"/>
            <w:vAlign w:val="center"/>
          </w:tcPr>
          <w:p w:rsidR="004535F8" w:rsidRPr="00F915FB" w:rsidRDefault="004535F8" w:rsidP="004535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Учтено в бюджетной росписи            </w:t>
            </w:r>
            <w:proofErr w:type="gramStart"/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последние изменения от 29.12.2021)</w:t>
            </w:r>
          </w:p>
        </w:tc>
        <w:tc>
          <w:tcPr>
            <w:tcW w:w="1560" w:type="dxa"/>
            <w:vAlign w:val="center"/>
          </w:tcPr>
          <w:p w:rsidR="004535F8" w:rsidRPr="00F915FB" w:rsidRDefault="004535F8" w:rsidP="004535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Align w:val="center"/>
          </w:tcPr>
          <w:p w:rsidR="004535F8" w:rsidRPr="00F915FB" w:rsidRDefault="004535F8" w:rsidP="004535F8">
            <w:pPr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уточненного плана, %</w:t>
            </w:r>
          </w:p>
        </w:tc>
      </w:tr>
      <w:tr w:rsidR="004535F8" w:rsidRPr="00F915FB" w:rsidTr="00414346">
        <w:trPr>
          <w:trHeight w:val="384"/>
          <w:tblCellSpacing w:w="1440" w:type="nil"/>
        </w:trPr>
        <w:tc>
          <w:tcPr>
            <w:tcW w:w="2376" w:type="dxa"/>
          </w:tcPr>
          <w:p w:rsidR="004535F8" w:rsidRPr="00F915FB" w:rsidRDefault="004535F8" w:rsidP="004535F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бюджета, всего</w:t>
            </w:r>
          </w:p>
        </w:tc>
        <w:tc>
          <w:tcPr>
            <w:tcW w:w="2268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850 054,7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1 186 758,7</w:t>
            </w:r>
          </w:p>
        </w:tc>
        <w:tc>
          <w:tcPr>
            <w:tcW w:w="1560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1 158 745,4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</w:tr>
      <w:tr w:rsidR="004535F8" w:rsidRPr="00F915FB" w:rsidTr="00414346">
        <w:trPr>
          <w:trHeight w:val="349"/>
          <w:tblCellSpacing w:w="1440" w:type="nil"/>
        </w:trPr>
        <w:tc>
          <w:tcPr>
            <w:tcW w:w="2376" w:type="dxa"/>
          </w:tcPr>
          <w:p w:rsidR="004535F8" w:rsidRPr="00F915FB" w:rsidRDefault="004535F8" w:rsidP="004535F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</w:t>
            </w:r>
          </w:p>
        </w:tc>
        <w:tc>
          <w:tcPr>
            <w:tcW w:w="2268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151 474,3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150 716,2</w:t>
            </w:r>
          </w:p>
        </w:tc>
        <w:tc>
          <w:tcPr>
            <w:tcW w:w="1560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149 914,5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4535F8" w:rsidRPr="00F915FB" w:rsidTr="00414346">
        <w:trPr>
          <w:trHeight w:val="204"/>
          <w:tblCellSpacing w:w="1440" w:type="nil"/>
        </w:trPr>
        <w:tc>
          <w:tcPr>
            <w:tcW w:w="2376" w:type="dxa"/>
          </w:tcPr>
          <w:p w:rsidR="004535F8" w:rsidRPr="00F915FB" w:rsidRDefault="004535F8" w:rsidP="004535F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Неналоговые</w:t>
            </w:r>
          </w:p>
        </w:tc>
        <w:tc>
          <w:tcPr>
            <w:tcW w:w="2268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18 625,2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16 462,3</w:t>
            </w:r>
          </w:p>
        </w:tc>
        <w:tc>
          <w:tcPr>
            <w:tcW w:w="1560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16 909,4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4535F8" w:rsidRPr="00F915FB" w:rsidTr="00414346">
        <w:trPr>
          <w:trHeight w:val="439"/>
          <w:tblCellSpacing w:w="1440" w:type="nil"/>
        </w:trPr>
        <w:tc>
          <w:tcPr>
            <w:tcW w:w="2376" w:type="dxa"/>
          </w:tcPr>
          <w:p w:rsidR="004535F8" w:rsidRPr="00F915FB" w:rsidRDefault="004535F8" w:rsidP="004535F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8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679 955,2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1 019 580,2</w:t>
            </w:r>
          </w:p>
        </w:tc>
        <w:tc>
          <w:tcPr>
            <w:tcW w:w="1560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991 921,5</w:t>
            </w:r>
          </w:p>
        </w:tc>
        <w:tc>
          <w:tcPr>
            <w:tcW w:w="1701" w:type="dxa"/>
            <w:vAlign w:val="bottom"/>
          </w:tcPr>
          <w:p w:rsidR="004535F8" w:rsidRPr="00F915FB" w:rsidRDefault="004535F8" w:rsidP="00453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5FB"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</w:tr>
    </w:tbl>
    <w:p w:rsidR="004535F8" w:rsidRPr="00F915FB" w:rsidRDefault="004535F8" w:rsidP="004535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Дотации бюджетам субъектов РФ и муниципальных </w:t>
      </w:r>
      <w:proofErr w:type="gramStart"/>
      <w:r w:rsidRPr="00F91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образований</w:t>
      </w:r>
      <w:r w:rsidRPr="00F91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поступили</w:t>
      </w:r>
      <w:proofErr w:type="gramEnd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полном объеме в сумме 201 395,7 тыс. рублей; </w:t>
      </w:r>
    </w:p>
    <w:p w:rsidR="004535F8" w:rsidRPr="00F915FB" w:rsidRDefault="004535F8" w:rsidP="004535F8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Субсидии бюджетам субъектов РФ и муниципальных образований (межбюджетные субсидии)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поступили в сумме 487 873,2 тыс. рублей, что составляет</w:t>
      </w:r>
      <w:r w:rsidRPr="00F91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99,7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 к плановым назначениям – 489 334,5 тыс. рублей; </w:t>
      </w:r>
    </w:p>
    <w:p w:rsidR="004535F8" w:rsidRPr="00F915FB" w:rsidRDefault="004535F8" w:rsidP="00453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Субвенции бюджетам субъектов РФ и муниципальных образований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поступили в сумме 286 756,8 тыс. рублей, что </w:t>
      </w:r>
      <w:proofErr w:type="gramStart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 91</w:t>
      </w:r>
      <w:proofErr w:type="gramEnd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,7 % к плановым назначениям – 312 728,6 тыс. рублей.</w:t>
      </w:r>
      <w:r w:rsidRPr="00F915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</w:t>
      </w:r>
    </w:p>
    <w:p w:rsidR="004535F8" w:rsidRPr="00F915FB" w:rsidRDefault="004535F8" w:rsidP="00453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Иные межбюджетные трансферты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поступили в сумме 13 878,1 тыс. рублей, что составило 98,4 % к плановым назначениям 14 103,7 тыс. рублей. 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eastAsia="Times New Roman" w:hAnsi="Times New Roman CYR" w:cs="Times New Roman CYR"/>
          <w:sz w:val="28"/>
          <w:szCs w:val="28"/>
          <w:u w:color="FF0000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бюджета, за исключением субвенций в 2021 году снизилась с 32,47% до 19,13% за счет увеличения разницы объемов исполненных доходов по строке "Собственные доходы бюджета" и по строке "Налоговые и неналоговые доходы". В 2021 году сумма собственных доходов бюджета без учета субвенций составила 871 988,6 тыс. рублей, что больше данного значения в 2020 году (463 480,6 тыс. рублей) на 408 508,0 тыс. рублей. Увеличение доходов связано с тем, что в 2021 году на территорию города дополнительно поступали безвозмездные поступления: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u w:color="FF0000"/>
        </w:rPr>
      </w:pPr>
      <w:r w:rsidRPr="00F915FB">
        <w:rPr>
          <w:rFonts w:ascii="Times New Roman CYR" w:eastAsia="Times New Roman" w:hAnsi="Times New Roman CYR" w:cs="Times New Roman CYR"/>
          <w:sz w:val="28"/>
          <w:szCs w:val="28"/>
          <w:u w:color="FF0000"/>
        </w:rPr>
        <w:t>- субсидии: на обеспечение мероприятий по переселению граждан из аварийного жилищного фонда – 425 900,8 тыс. рублей,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– 3 522,6</w:t>
      </w:r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  <w:u w:color="FF0000"/>
        </w:rPr>
        <w:t xml:space="preserve"> тыс. рублей, на обеспечение образовательных организаций материально-технической базой для внедрения цифровой образовательной среды – 2 809,2 тыс. рублей; 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u w:color="FF0000"/>
        </w:rPr>
      </w:pPr>
      <w:r w:rsidRPr="00F915FB">
        <w:rPr>
          <w:rFonts w:ascii="Times New Roman CYR" w:eastAsia="Times New Roman" w:hAnsi="Times New Roman CYR" w:cs="Times New Roman CYR"/>
          <w:color w:val="000000"/>
          <w:sz w:val="28"/>
          <w:szCs w:val="28"/>
          <w:u w:color="FF0000"/>
        </w:rPr>
        <w:t>- межбюджетные трансферты: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13 603,7 тыс. рублей.</w:t>
      </w:r>
    </w:p>
    <w:p w:rsidR="004535F8" w:rsidRPr="00F915FB" w:rsidRDefault="004535F8" w:rsidP="004535F8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Сумма утвержденных расходов на 2021 год 1 202 776,1</w:t>
      </w:r>
      <w:r w:rsidRPr="00F915FB">
        <w:rPr>
          <w:rFonts w:ascii="Times New Roman" w:eastAsia="Times New Roman" w:hAnsi="Times New Roman" w:cs="Times New Roman"/>
          <w:b/>
          <w:bCs/>
        </w:rPr>
        <w:t xml:space="preserve">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тыс. рублей, исполнены </w:t>
      </w:r>
      <w:proofErr w:type="gramStart"/>
      <w:r w:rsidRPr="00F915FB">
        <w:rPr>
          <w:rFonts w:ascii="Times New Roman" w:eastAsia="Times New Roman" w:hAnsi="Times New Roman" w:cs="Times New Roman"/>
          <w:sz w:val="28"/>
          <w:szCs w:val="28"/>
        </w:rPr>
        <w:t>расходы  в</w:t>
      </w:r>
      <w:proofErr w:type="gramEnd"/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 сумме 1 153 999,3 тыс. рублей, что составляет  95,9 % от уточненной бюджетной росписи.</w:t>
      </w:r>
    </w:p>
    <w:p w:rsidR="004535F8" w:rsidRPr="00F915FB" w:rsidRDefault="004535F8" w:rsidP="00453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города в 2021 году осуществлялось в программном формате. </w:t>
      </w:r>
      <w:r w:rsidRPr="00F915FB">
        <w:rPr>
          <w:rFonts w:ascii="Times New Roman" w:eastAsia="Times New Roman" w:hAnsi="Times New Roman" w:cs="Times New Roman"/>
          <w:bCs/>
          <w:sz w:val="28"/>
          <w:szCs w:val="28"/>
        </w:rPr>
        <w:t xml:space="preserve">Охват расходов бюджета города муниципальными </w:t>
      </w:r>
      <w:r w:rsidRPr="00F91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программами </w:t>
      </w:r>
      <w:proofErr w:type="gramStart"/>
      <w:r w:rsidRPr="00F91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составил  96</w:t>
      </w:r>
      <w:proofErr w:type="gramEnd"/>
      <w:r w:rsidRPr="00F91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,5 процентов. </w:t>
      </w:r>
    </w:p>
    <w:p w:rsidR="004535F8" w:rsidRPr="00F915FB" w:rsidRDefault="004535F8" w:rsidP="004535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Расходы средств местного бюджета на реализацию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12 муниципальных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программ, </w:t>
      </w:r>
      <w:r w:rsidRPr="00F915F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составили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1 113 581,</w:t>
      </w:r>
      <w:proofErr w:type="gramStart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F915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91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тыс.</w:t>
      </w:r>
      <w:proofErr w:type="gramEnd"/>
      <w:r w:rsidRPr="00F91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рублей, исполнение составило 95,9 %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6AAA"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3636" w:rsidRPr="00F915FB" w:rsidRDefault="00A53BC1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color w:val="000000"/>
          <w:sz w:val="28"/>
          <w:szCs w:val="28"/>
        </w:rPr>
        <w:lastRenderedPageBreak/>
        <w:t xml:space="preserve"> </w:t>
      </w:r>
      <w:r w:rsidR="005C3636" w:rsidRPr="00F915FB">
        <w:rPr>
          <w:rFonts w:ascii="Times New Roman CYR" w:hAnsi="Times New Roman CYR" w:cs="Times New Roman CYR"/>
          <w:b/>
          <w:color w:val="000000"/>
          <w:sz w:val="28"/>
          <w:szCs w:val="28"/>
        </w:rPr>
        <w:t>Торговля, общественное питание</w:t>
      </w:r>
    </w:p>
    <w:p w:rsidR="005C4077" w:rsidRPr="00F915FB" w:rsidRDefault="005C4077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E264F5" w:rsidRPr="00F915FB" w:rsidRDefault="00E264F5" w:rsidP="00E26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По состоянию на 01.01.202</w:t>
      </w:r>
      <w:r w:rsidR="004C292F" w:rsidRPr="00F915FB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потребительский рынок города включал в себя 199 объектов розничной торговли.</w:t>
      </w:r>
    </w:p>
    <w:p w:rsidR="005C3636" w:rsidRPr="00F915FB" w:rsidRDefault="00196D87" w:rsidP="005C36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>За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20</w:t>
      </w:r>
      <w:r w:rsidR="00EC7174" w:rsidRPr="00F915FB">
        <w:rPr>
          <w:rFonts w:ascii="Times New Roman CYR" w:hAnsi="Times New Roman CYR" w:cs="Times New Roman CYR"/>
          <w:sz w:val="28"/>
          <w:szCs w:val="28"/>
        </w:rPr>
        <w:t>2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году оборот розничной торговли </w:t>
      </w:r>
      <w:r w:rsidR="00D3427A" w:rsidRPr="00F915FB">
        <w:rPr>
          <w:rFonts w:ascii="Times New Roman CYR" w:hAnsi="Times New Roman CYR" w:cs="Times New Roman CYR"/>
          <w:sz w:val="28"/>
          <w:szCs w:val="28"/>
        </w:rPr>
        <w:t>составил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1,</w:t>
      </w:r>
      <w:proofErr w:type="gramStart"/>
      <w:r w:rsidR="004C292F" w:rsidRPr="00F915FB">
        <w:rPr>
          <w:rFonts w:ascii="Times New Roman CYR" w:hAnsi="Times New Roman CYR" w:cs="Times New Roman CYR"/>
          <w:sz w:val="28"/>
          <w:szCs w:val="28"/>
        </w:rPr>
        <w:t>25</w:t>
      </w:r>
      <w:r w:rsidR="00D3427A" w:rsidRPr="00F915FB">
        <w:rPr>
          <w:rFonts w:ascii="Times New Roman CYR" w:hAnsi="Times New Roman CYR" w:cs="Times New Roman CYR"/>
          <w:sz w:val="28"/>
          <w:szCs w:val="28"/>
        </w:rPr>
        <w:t> 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</w:rPr>
        <w:t>м</w:t>
      </w:r>
      <w:r w:rsidR="00E264F5" w:rsidRPr="00F915FB">
        <w:rPr>
          <w:rFonts w:ascii="Times New Roman CYR" w:hAnsi="Times New Roman CYR" w:cs="Times New Roman CYR"/>
          <w:sz w:val="28"/>
          <w:szCs w:val="28"/>
        </w:rPr>
        <w:t>рд</w:t>
      </w:r>
      <w:proofErr w:type="spellEnd"/>
      <w:proofErr w:type="gramEnd"/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. руб., </w:t>
      </w:r>
      <w:r w:rsidR="001B79F6" w:rsidRPr="00F915FB">
        <w:rPr>
          <w:rFonts w:ascii="Times New Roman CYR" w:hAnsi="Times New Roman CYR" w:cs="Times New Roman CYR"/>
          <w:sz w:val="28"/>
          <w:szCs w:val="28"/>
        </w:rPr>
        <w:t>т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>емп роста оборота розничн</w:t>
      </w:r>
      <w:r w:rsidR="00D3427A" w:rsidRPr="00F915FB">
        <w:rPr>
          <w:rFonts w:ascii="Times New Roman CYR" w:hAnsi="Times New Roman CYR" w:cs="Times New Roman CYR"/>
          <w:sz w:val="28"/>
          <w:szCs w:val="28"/>
        </w:rPr>
        <w:t>ой торговли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, к </w:t>
      </w:r>
      <w:r w:rsidRPr="00F915FB">
        <w:rPr>
          <w:rFonts w:ascii="Times New Roman CYR" w:hAnsi="Times New Roman CYR" w:cs="Times New Roman CYR"/>
          <w:sz w:val="28"/>
          <w:szCs w:val="28"/>
        </w:rPr>
        <w:t>20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20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Pr="00F915FB">
        <w:rPr>
          <w:rFonts w:ascii="Times New Roman CYR" w:hAnsi="Times New Roman CYR" w:cs="Times New Roman CYR"/>
          <w:sz w:val="28"/>
          <w:szCs w:val="28"/>
        </w:rPr>
        <w:t>у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3427A" w:rsidRPr="00F915FB">
        <w:rPr>
          <w:rFonts w:ascii="Times New Roman CYR" w:hAnsi="Times New Roman CYR" w:cs="Times New Roman CYR"/>
          <w:sz w:val="28"/>
          <w:szCs w:val="28"/>
        </w:rPr>
        <w:t>–</w:t>
      </w:r>
      <w:r w:rsidR="001B79F6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134,6</w:t>
      </w:r>
      <w:r w:rsidR="001B79F6" w:rsidRPr="00F915FB">
        <w:rPr>
          <w:rFonts w:ascii="Times New Roman CYR" w:hAnsi="Times New Roman CYR" w:cs="Times New Roman CYR"/>
          <w:sz w:val="28"/>
          <w:szCs w:val="28"/>
        </w:rPr>
        <w:t xml:space="preserve">%. 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Несмотря на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активно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е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развити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е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инфраструктур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ы потребительского рынка г</w:t>
      </w:r>
      <w:r w:rsidR="00E94937" w:rsidRPr="00F915FB">
        <w:rPr>
          <w:rFonts w:ascii="Times New Roman CYR" w:hAnsi="Times New Roman CYR" w:cs="Times New Roman CYR"/>
          <w:sz w:val="28"/>
          <w:szCs w:val="28"/>
        </w:rPr>
        <w:t>орода, покупательска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я способность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населения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 xml:space="preserve"> падает</w:t>
      </w:r>
      <w:r w:rsidR="005F24F7" w:rsidRPr="00F915FB">
        <w:rPr>
          <w:rFonts w:ascii="Times New Roman CYR" w:hAnsi="Times New Roman CYR" w:cs="Times New Roman CYR"/>
          <w:sz w:val="28"/>
          <w:szCs w:val="28"/>
        </w:rPr>
        <w:t xml:space="preserve"> (сжатие потребительского спроса и снижение реальных доходов населения</w:t>
      </w:r>
      <w:r w:rsidR="00EE7F93" w:rsidRPr="00F915FB">
        <w:rPr>
          <w:rFonts w:ascii="Times New Roman CYR" w:hAnsi="Times New Roman CYR" w:cs="Times New Roman CYR"/>
          <w:sz w:val="28"/>
          <w:szCs w:val="28"/>
        </w:rPr>
        <w:t xml:space="preserve"> по отношению к заработной плате</w:t>
      </w:r>
      <w:r w:rsidR="005F24F7" w:rsidRPr="00F915FB">
        <w:rPr>
          <w:rFonts w:ascii="Times New Roman CYR" w:hAnsi="Times New Roman CYR" w:cs="Times New Roman CYR"/>
          <w:sz w:val="28"/>
          <w:szCs w:val="28"/>
        </w:rPr>
        <w:t>)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, что </w:t>
      </w:r>
      <w:r w:rsidR="00EC612F" w:rsidRPr="00F915FB">
        <w:rPr>
          <w:rFonts w:ascii="Times New Roman CYR" w:hAnsi="Times New Roman CYR" w:cs="Times New Roman CYR"/>
          <w:sz w:val="28"/>
          <w:szCs w:val="28"/>
        </w:rPr>
        <w:t xml:space="preserve">может </w:t>
      </w:r>
      <w:r w:rsidR="0037722D" w:rsidRPr="00F915FB">
        <w:rPr>
          <w:rFonts w:ascii="Times New Roman CYR" w:hAnsi="Times New Roman CYR" w:cs="Times New Roman CYR"/>
          <w:sz w:val="28"/>
          <w:szCs w:val="28"/>
        </w:rPr>
        <w:t>не позвол</w:t>
      </w:r>
      <w:r w:rsidR="00EC612F" w:rsidRPr="00F915FB">
        <w:rPr>
          <w:rFonts w:ascii="Times New Roman CYR" w:hAnsi="Times New Roman CYR" w:cs="Times New Roman CYR"/>
          <w:sz w:val="28"/>
          <w:szCs w:val="28"/>
        </w:rPr>
        <w:t>и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>т</w:t>
      </w:r>
      <w:r w:rsidR="00EC612F" w:rsidRPr="00F915FB">
        <w:rPr>
          <w:rFonts w:ascii="Times New Roman CYR" w:hAnsi="Times New Roman CYR" w:cs="Times New Roman CYR"/>
          <w:sz w:val="28"/>
          <w:szCs w:val="28"/>
        </w:rPr>
        <w:t>ь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обеспечить</w:t>
      </w:r>
      <w:r w:rsidR="00EE7F93" w:rsidRPr="00F915FB">
        <w:rPr>
          <w:rFonts w:ascii="Times New Roman CYR" w:hAnsi="Times New Roman CYR" w:cs="Times New Roman CYR"/>
          <w:sz w:val="28"/>
          <w:szCs w:val="28"/>
        </w:rPr>
        <w:t xml:space="preserve"> стабильный</w:t>
      </w:r>
      <w:r w:rsidR="005C3636" w:rsidRPr="00F915FB">
        <w:rPr>
          <w:rFonts w:ascii="Times New Roman CYR" w:hAnsi="Times New Roman CYR" w:cs="Times New Roman CYR"/>
          <w:sz w:val="28"/>
          <w:szCs w:val="28"/>
        </w:rPr>
        <w:t xml:space="preserve"> ежегодный прирост оборота розничной торговли. </w:t>
      </w:r>
    </w:p>
    <w:p w:rsidR="00E264F5" w:rsidRPr="00F915FB" w:rsidRDefault="00E94937" w:rsidP="00E26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</w:rPr>
        <w:t xml:space="preserve"> Оборот общественного питания за </w:t>
      </w:r>
      <w:r w:rsidR="00196D87" w:rsidRPr="00F915FB">
        <w:rPr>
          <w:rFonts w:ascii="Times New Roman CYR" w:hAnsi="Times New Roman CYR" w:cs="Times New Roman CYR"/>
          <w:sz w:val="28"/>
          <w:szCs w:val="28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</w:rPr>
        <w:t>0</w:t>
      </w:r>
      <w:r w:rsidR="00EC7174" w:rsidRPr="00F915FB">
        <w:rPr>
          <w:rFonts w:ascii="Times New Roman CYR" w:hAnsi="Times New Roman CYR" w:cs="Times New Roman CYR"/>
          <w:sz w:val="28"/>
          <w:szCs w:val="28"/>
        </w:rPr>
        <w:t>2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год составил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18,0</w:t>
      </w:r>
      <w:r w:rsidR="00196D87" w:rsidRPr="00F915FB">
        <w:rPr>
          <w:rFonts w:ascii="Times New Roman CYR" w:hAnsi="Times New Roman CYR" w:cs="Times New Roman CYR"/>
          <w:sz w:val="28"/>
          <w:szCs w:val="28"/>
        </w:rPr>
        <w:t xml:space="preserve"> млн.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руб., темп роста оборота общественного питания в сопоставимых ценах, к </w:t>
      </w:r>
      <w:r w:rsidR="00196D87" w:rsidRPr="00F915FB">
        <w:rPr>
          <w:rFonts w:ascii="Times New Roman CYR" w:hAnsi="Times New Roman CYR" w:cs="Times New Roman CYR"/>
          <w:sz w:val="28"/>
          <w:szCs w:val="28"/>
        </w:rPr>
        <w:t>прошлому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196D87" w:rsidRPr="00F915FB">
        <w:rPr>
          <w:rFonts w:ascii="Times New Roman CYR" w:hAnsi="Times New Roman CYR" w:cs="Times New Roman CYR"/>
          <w:sz w:val="28"/>
          <w:szCs w:val="28"/>
        </w:rPr>
        <w:t>у</w:t>
      </w:r>
      <w:r w:rsidR="00EE7F93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C61FC" w:rsidRPr="00F915FB">
        <w:rPr>
          <w:rFonts w:ascii="Times New Roman CYR" w:hAnsi="Times New Roman CYR" w:cs="Times New Roman CYR"/>
          <w:sz w:val="28"/>
          <w:szCs w:val="28"/>
        </w:rPr>
        <w:t xml:space="preserve">составил </w:t>
      </w:r>
      <w:r w:rsidR="004C292F" w:rsidRPr="00F915FB">
        <w:rPr>
          <w:rFonts w:ascii="Times New Roman CYR" w:hAnsi="Times New Roman CYR" w:cs="Times New Roman CYR"/>
          <w:sz w:val="28"/>
          <w:szCs w:val="28"/>
        </w:rPr>
        <w:t>136,8</w:t>
      </w:r>
      <w:r w:rsidRPr="00F915FB">
        <w:rPr>
          <w:rFonts w:ascii="Times New Roman CYR" w:hAnsi="Times New Roman CYR" w:cs="Times New Roman CYR"/>
          <w:sz w:val="28"/>
          <w:szCs w:val="28"/>
        </w:rPr>
        <w:t xml:space="preserve">%. </w:t>
      </w:r>
      <w:r w:rsidR="00E264F5" w:rsidRPr="00F915FB">
        <w:rPr>
          <w:rFonts w:ascii="Times New Roman CYR" w:hAnsi="Times New Roman CYR" w:cs="Times New Roman CYR"/>
          <w:sz w:val="28"/>
          <w:szCs w:val="28"/>
        </w:rPr>
        <w:t>Н</w:t>
      </w:r>
      <w:r w:rsidR="00E264F5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есмотря на сокращение количества предприятий общественного питания, тенденция их развития сохраняется за счет увеличения количества посадочных мест и площадей залов обслуживания посетителей вышеуказанных заведений, что позвол</w:t>
      </w:r>
      <w:r w:rsidR="0027126F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яе</w:t>
      </w:r>
      <w:r w:rsidR="00E264F5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т обеспечить ежегодный прирост оборота общественного питания. 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Основной тенденцией повлиявшей на прирост оборота розничной торговли и общественного питания-это сняти</w:t>
      </w:r>
      <w:r w:rsidR="00D23281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е</w:t>
      </w:r>
      <w:r w:rsidR="004C292F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ограничительных мер</w:t>
      </w:r>
      <w:r w:rsidR="00D23281"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.</w:t>
      </w:r>
    </w:p>
    <w:p w:rsidR="00D23281" w:rsidRPr="00F915FB" w:rsidRDefault="00D23281" w:rsidP="00E264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</w:p>
    <w:p w:rsidR="0061150A" w:rsidRPr="00F915FB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915FB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1150A" w:rsidRPr="00F915FB">
        <w:rPr>
          <w:rFonts w:ascii="Times New Roman CYR" w:hAnsi="Times New Roman CYR" w:cs="Times New Roman CYR"/>
          <w:b/>
          <w:sz w:val="28"/>
          <w:szCs w:val="28"/>
        </w:rPr>
        <w:t>Жилищно-коммунальное хозяйство</w:t>
      </w:r>
    </w:p>
    <w:p w:rsidR="0061150A" w:rsidRPr="00F915FB" w:rsidRDefault="0061150A" w:rsidP="006115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города Боготола на 01.01.22 эксплуатируется централизованная система теплоснабжения, которая представлена 10 теплоисточниками суммарной мощностью 106,6 тыс. Гкал/час.  Данные показатели сохранятся до конца прогнозируемого периода. По тепловым сетям протяженностью 30,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км.,</w:t>
      </w:r>
      <w:proofErr w:type="gram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транспортируется тепловая энергия  в объеме  125,9 тыс. Гкал в год. Основным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источником  водоснабжения</w:t>
      </w:r>
      <w:proofErr w:type="gram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населения является – река Чулым. Количество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жителей</w:t>
      </w:r>
      <w:proofErr w:type="gram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получающих воду для хозяйственно-питьевых нужд из централизованной системы водоснабжения составляет 13 тыс. человек, что составляет 65,6% от общей численности населения. Протяженность уличных водопроводных сетей всех форм собственности составляет 38,3 км. 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Уровень износа коммунальной инфраструктуры составляет 53,2%, в связи с чем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на  реализацию</w:t>
      </w:r>
      <w:proofErr w:type="gram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неотложных мероприятий по повышению эксплуатационной надежности объектов коммунальной инфраструктуры муниципальных образований края постоянно предоставляются субсидии из краевого бюджета. 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Протяженность электрических сетей на территории города Боготола составляет 269,0 км, из них ветхих электрических сетей </w:t>
      </w:r>
      <w:smartTag w:uri="urn:schemas-microsoft-com:office:smarttags" w:element="metricconverter">
        <w:smartTagPr>
          <w:attr w:name="ProductID" w:val="6,5 км"/>
        </w:smartTagPr>
        <w:r w:rsidRPr="00F915FB">
          <w:rPr>
            <w:rFonts w:ascii="Times New Roman CYR" w:hAnsi="Times New Roman CYR" w:cs="Times New Roman CYR"/>
            <w:sz w:val="28"/>
            <w:szCs w:val="28"/>
            <w:u w:color="FF0000"/>
          </w:rPr>
          <w:t>6,5 км</w:t>
        </w:r>
      </w:smartTag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, что 2,4 % от общего количества километров.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трансформаторных подстанций 60 единиц, установленной мощности 15,641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тыс.кВт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. Собственная электрическая энергия не 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вырабатывается, объем полученной электрической энергии со стороны составляет 53,651 тыс. кВт/ ч. Потери электрической энергии составили на 01.01.2021 – 15,279 тыс. кВт/ч или 28,5%.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Для бытовых нужд населения города Боготола используется сжиженный углеводородный газ. Поставка сжиженного углеводородного газа на территорию города осуществляется автомобильным (автоцистерны) транспортом до баз хранения. 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Система газоснабжения сжиженным газом представлена одним газонаполнительным пунктом с объемом хранения 8,5 тонны газа и   4-х групповых резервуарных установок объемом 70,2 тонны.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Уровень газификации жилищного фонда города сжиженным газом по состоянию на 01.01.2022 составляет 13,08 %.</w:t>
      </w:r>
    </w:p>
    <w:p w:rsidR="00D23281" w:rsidRPr="00F915FB" w:rsidRDefault="00D23281" w:rsidP="00D232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Поставка газа населению осуществляется через газораспределительные установки и в газобаллонных установках. 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муниципального образования город Боготол, в отчетном 2021 году по сравнению с базовым 2020 годом, наблюдается спад объема потребления электроэнергии в многоквартирных домах на вышеуказанной территории. Данный показатель повлиял на удельную величину потребления электрической энергии. 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Удельная величина потребления электрической энергии в многоквартирных домах в 2021 году относительно 2020 года уменьшилась и составила 1113,6 кВт на одного проживающего. 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Объем потребления электрической энергии в 2021 году составил 12951168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кВтч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(2020 – 10155600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кВтч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), число проживающих в 2021 году 11630 чел. (2020 – 9022 чел.).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По оценке 2021 года и в плановом периоде до 2024 года, величина показателя сохранится на уровне 2021 года, на изменение значения может повлиять экономия данного ресурса.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Удельная величина потребления тепловой энергии в расчете на 1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обшей площади многоквартирных домов в 2021 году уменьшилась относительно 2020 года на 3,6 %, и составила 0,244 Гкал на 1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Объём потребления тепловой энергии в 2021 году на цели отопления составил 60823,07 Гкал, при фактическом уровне 2020 года 62131,0 Гкал, площадь отопления составляет в 2021 году – 249,4 тыс.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, 2020 – 245,2 тыс.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2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Удельная величина потребления горячего водоснабжения в 2021 году уменьшилась на 0,25 % к уровню 2020 года и составила 16,73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в расчете на одного проживающего.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Объем потребления горячего водоснабжения в 2021 году составил 146052,9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, (2020 – 103977,82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) число проживающих в 2021 году 8730 чел. (2020 – 6122 чел.).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Удельная величина потребления холодного водоснабжения в многоквартирных домах в 2021 году относительно 2020 года снизилась на 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14,5%, и составила 22,43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 xml:space="preserve">3 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на одного проживающего. Изменение показателя произошло в связи с уменьшением потребления данного ресурса.</w:t>
      </w:r>
    </w:p>
    <w:p w:rsidR="003E6AAA" w:rsidRPr="00F915FB" w:rsidRDefault="003E6AAA" w:rsidP="003E6A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Объем потребления холодного водоснабжения в 2021 году составил 253705,73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, (2020 –197232,00 м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) число проживающих в 2021 году 11311 чел. (2020 – 8703 чел.).</w:t>
      </w:r>
    </w:p>
    <w:p w:rsidR="00EA0055" w:rsidRPr="00F915FB" w:rsidRDefault="00EA0055" w:rsidP="00EA0055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Разработана проектно-сметная документация </w:t>
      </w:r>
      <w:proofErr w:type="gramStart"/>
      <w:r w:rsidRPr="00F915FB">
        <w:rPr>
          <w:rFonts w:ascii="Times New Roman" w:hAnsi="Times New Roman" w:cs="Times New Roman"/>
          <w:sz w:val="28"/>
          <w:szCs w:val="28"/>
        </w:rPr>
        <w:t>по  объекту</w:t>
      </w:r>
      <w:proofErr w:type="gramEnd"/>
      <w:r w:rsidRPr="00F915FB">
        <w:rPr>
          <w:rFonts w:ascii="Times New Roman" w:hAnsi="Times New Roman" w:cs="Times New Roman"/>
          <w:sz w:val="28"/>
          <w:szCs w:val="28"/>
        </w:rPr>
        <w:t xml:space="preserve"> «Очистные сооружения канализации производительностью 1000 м</w:t>
      </w:r>
      <w:r w:rsidRPr="00F915F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915FB">
        <w:rPr>
          <w:rFonts w:ascii="Times New Roman" w:hAnsi="Times New Roman" w:cs="Times New Roman"/>
          <w:sz w:val="28"/>
          <w:szCs w:val="28"/>
        </w:rPr>
        <w:t xml:space="preserve">/сутки» по адресу: Красноярский край, г. Боготол, ул. Фабричная, 9. Заказчик – ГПКК «Центр развития коммунального комплекса», получено положительное заключение экспертизы. Строительство объекта </w:t>
      </w:r>
      <w:proofErr w:type="gramStart"/>
      <w:r w:rsidRPr="00F915FB">
        <w:rPr>
          <w:rFonts w:ascii="Times New Roman" w:hAnsi="Times New Roman" w:cs="Times New Roman"/>
          <w:sz w:val="28"/>
          <w:szCs w:val="28"/>
        </w:rPr>
        <w:t>запланировано  в</w:t>
      </w:r>
      <w:proofErr w:type="gramEnd"/>
      <w:r w:rsidRPr="00F915FB">
        <w:rPr>
          <w:rFonts w:ascii="Times New Roman" w:hAnsi="Times New Roman" w:cs="Times New Roman"/>
          <w:sz w:val="28"/>
          <w:szCs w:val="28"/>
        </w:rPr>
        <w:t xml:space="preserve"> рамках государственной программы Красноярского края «Реформирование и модернизация жилищно-коммунального хозяйства» с объемом финансирования 146,2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>, в том числе в 202</w:t>
      </w:r>
      <w:r w:rsidR="00E46E2B" w:rsidRPr="00F915FB">
        <w:rPr>
          <w:rFonts w:ascii="Times New Roman" w:hAnsi="Times New Roman" w:cs="Times New Roman"/>
          <w:sz w:val="28"/>
          <w:szCs w:val="28"/>
        </w:rPr>
        <w:t>2</w:t>
      </w:r>
      <w:r w:rsidRPr="00F915FB">
        <w:rPr>
          <w:rFonts w:ascii="Times New Roman" w:hAnsi="Times New Roman" w:cs="Times New Roman"/>
          <w:sz w:val="28"/>
          <w:szCs w:val="28"/>
        </w:rPr>
        <w:t xml:space="preserve"> году – 8</w:t>
      </w:r>
      <w:r w:rsidR="00E46E2B" w:rsidRPr="00F915FB">
        <w:rPr>
          <w:rFonts w:ascii="Times New Roman" w:hAnsi="Times New Roman" w:cs="Times New Roman"/>
          <w:sz w:val="28"/>
          <w:szCs w:val="28"/>
        </w:rPr>
        <w:t>6</w:t>
      </w:r>
      <w:r w:rsidRPr="00F91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15FB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F915FB">
        <w:rPr>
          <w:rFonts w:ascii="Times New Roman" w:hAnsi="Times New Roman" w:cs="Times New Roman"/>
          <w:sz w:val="28"/>
          <w:szCs w:val="28"/>
        </w:rPr>
        <w:t xml:space="preserve">. Начата работа по подготовке исходных данных для проектирования магистральных канализационных сетей протяженностью до 3 км., обеспечивающих прием стоков от жилых массивов (ул. Комсомольская, ул. Промышленная). </w:t>
      </w:r>
    </w:p>
    <w:p w:rsidR="00E46E2B" w:rsidRPr="00F915FB" w:rsidRDefault="00E46E2B" w:rsidP="00E46E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Утверждена Программа «Комплексное развитие систем коммунальной инфраструктуры городского округа город Боготол Красноярского края на 2022 – 2031 годы». В программе отражены мероприятия, требующие первоочередного решения по строительству и реконструкции объектов коммунального комплекса в целях развития территории.</w:t>
      </w:r>
    </w:p>
    <w:p w:rsidR="00E46E2B" w:rsidRPr="00F915FB" w:rsidRDefault="00E46E2B" w:rsidP="00E46E2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Подготовлены материалы инженерных изысканий на объекты коммунальной инфраструктуры (водопровод ул. Вокзальная – ул. 1-ая </w:t>
      </w:r>
      <w:proofErr w:type="spellStart"/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Зарельсовая</w:t>
      </w:r>
      <w:proofErr w:type="spellEnd"/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, магистральные канализационные сети по ул. Шикунова – ул. Школьная, от 2-х жилых массивов южной части города до приемного колодца КОС «Южные»).</w:t>
      </w:r>
    </w:p>
    <w:p w:rsidR="00E46E2B" w:rsidRPr="00F915FB" w:rsidRDefault="00E46E2B" w:rsidP="00E46E2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С целью развития УДС на территории города подготовлены материалы инженерных изысканий на установку тротуарной сети, вдоль улиц местного значения (протяженностью 8 км.). </w:t>
      </w:r>
    </w:p>
    <w:p w:rsidR="00E46E2B" w:rsidRPr="00F915FB" w:rsidRDefault="00E46E2B" w:rsidP="00E46E2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 Согласован и утвержден Решением городского Совета депутатов Генеральный план развития территории до 2040 года. </w:t>
      </w:r>
    </w:p>
    <w:p w:rsidR="00E46E2B" w:rsidRPr="00F915FB" w:rsidRDefault="00E46E2B" w:rsidP="00E46E2B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 xml:space="preserve">Актуализированы Схема теплоснабжения и Схема водоснабжения и водоотведения города Боготола, в которых отражены комплексные мероприятия, направленные на обеспечение надежного и устойчивого обслуживания населения коммунальными услугами, определены перспективы развития объектов коммунальной инфраструктуры. </w:t>
      </w:r>
    </w:p>
    <w:p w:rsidR="00E46E2B" w:rsidRPr="00F915FB" w:rsidRDefault="00E46E2B" w:rsidP="00E46E2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5FB">
        <w:rPr>
          <w:rFonts w:ascii="Times New Roman" w:hAnsi="Times New Roman" w:cs="Times New Roman"/>
          <w:sz w:val="28"/>
          <w:szCs w:val="28"/>
        </w:rPr>
        <w:t>В</w:t>
      </w: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 рамках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в 2021 году выделено 5 980,7 тыс. руб. на замену ветхих водопроводных сетей по ул. Октябрьская 430 м. Работы выполнены в полном объеме.</w:t>
      </w:r>
    </w:p>
    <w:p w:rsidR="005A25E3" w:rsidRPr="00F915FB" w:rsidRDefault="005A25E3" w:rsidP="005A25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Численность граждан, пользующихся социальной поддержкой по оплате жилого помещения и коммунальных услуг составила 5 </w:t>
      </w:r>
      <w:r w:rsidR="008010AD" w:rsidRPr="00F915FB">
        <w:rPr>
          <w:rFonts w:ascii="Times New Roman CYR" w:hAnsi="Times New Roman CYR" w:cs="Times New Roman CYR"/>
          <w:sz w:val="28"/>
          <w:szCs w:val="28"/>
          <w:u w:color="FF0000"/>
        </w:rPr>
        <w:t>316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человек, объем средств, предусмотренных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на компенсацию части расходов граждан на оплату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коммунальных услуг исполнителям коммунальных услуг 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в 202</w:t>
      </w:r>
      <w:r w:rsidR="008010AD" w:rsidRPr="00F915FB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году </w:t>
      </w:r>
      <w:proofErr w:type="gram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составил  3</w:t>
      </w:r>
      <w:r w:rsidR="008010AD" w:rsidRPr="00F915FB">
        <w:rPr>
          <w:rFonts w:ascii="Times New Roman CYR" w:hAnsi="Times New Roman CYR" w:cs="Times New Roman CYR"/>
          <w:sz w:val="28"/>
          <w:szCs w:val="28"/>
          <w:u w:color="FF0000"/>
        </w:rPr>
        <w:t>5</w:t>
      </w:r>
      <w:proofErr w:type="gramEnd"/>
      <w:r w:rsidR="008010AD"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,6 </w:t>
      </w:r>
      <w:proofErr w:type="spellStart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млн.рублей</w:t>
      </w:r>
      <w:proofErr w:type="spellEnd"/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</w:p>
    <w:p w:rsidR="006624E7" w:rsidRPr="00F915FB" w:rsidRDefault="006624E7" w:rsidP="006624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6624E7" w:rsidRPr="00F915FB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</w:t>
      </w:r>
      <w:r w:rsidR="006624E7" w:rsidRPr="00F915FB">
        <w:rPr>
          <w:rFonts w:ascii="Times New Roman CYR" w:hAnsi="Times New Roman CYR" w:cs="Times New Roman CYR"/>
          <w:b/>
          <w:sz w:val="28"/>
          <w:szCs w:val="28"/>
          <w:u w:color="FF0000"/>
        </w:rPr>
        <w:t>Платные услуги населению</w:t>
      </w:r>
    </w:p>
    <w:p w:rsidR="003B5D6B" w:rsidRPr="00F915FB" w:rsidRDefault="003B5D6B" w:rsidP="006624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</w:p>
    <w:p w:rsidR="007E3A86" w:rsidRPr="00F915FB" w:rsidRDefault="007E3A86" w:rsidP="007E3A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>Объем платных услуг, оказанных населению в 20</w:t>
      </w:r>
      <w:r w:rsidR="00EC7174" w:rsidRPr="00F915FB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414346" w:rsidRPr="00F915FB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году, составил </w:t>
      </w:r>
      <w:r w:rsidR="00414346" w:rsidRPr="00F915FB">
        <w:rPr>
          <w:rFonts w:ascii="Times New Roman CYR" w:hAnsi="Times New Roman CYR" w:cs="Times New Roman CYR"/>
          <w:sz w:val="28"/>
          <w:szCs w:val="28"/>
          <w:u w:color="FF0000"/>
        </w:rPr>
        <w:t>42,6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млн. рублей, что в сопоставимых ценах составляет </w:t>
      </w:r>
      <w:r w:rsidR="00414346" w:rsidRPr="00F915FB">
        <w:rPr>
          <w:rFonts w:ascii="Times New Roman CYR" w:hAnsi="Times New Roman CYR" w:cs="Times New Roman CYR"/>
          <w:sz w:val="28"/>
          <w:szCs w:val="28"/>
          <w:u w:color="FF0000"/>
        </w:rPr>
        <w:t>79,3</w:t>
      </w: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% к соответствующему периоду предыдущего года.  Наибольший объем расходов населения на услуги приходится на </w:t>
      </w:r>
      <w:r w:rsidRPr="00F915FB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платные коммунальные, медицинские, социальные услуги, услуги связи и на образование. </w:t>
      </w:r>
    </w:p>
    <w:p w:rsidR="006624E7" w:rsidRPr="00F915FB" w:rsidRDefault="002B2CBC" w:rsidP="007E3A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915FB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6624E7" w:rsidRPr="00F915FB">
        <w:rPr>
          <w:rFonts w:ascii="Times New Roman CYR" w:hAnsi="Times New Roman CYR" w:cs="Times New Roman CYR"/>
          <w:sz w:val="28"/>
          <w:szCs w:val="28"/>
        </w:rPr>
        <w:t>Услуги, зависящие от  доходов населения – культуры и связи, медицинские и образования –</w:t>
      </w:r>
      <w:r w:rsidR="00FF5D7B" w:rsidRPr="00F915F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624E7" w:rsidRPr="00F915FB">
        <w:rPr>
          <w:rFonts w:ascii="Times New Roman CYR" w:hAnsi="Times New Roman CYR" w:cs="Times New Roman CYR"/>
          <w:sz w:val="28"/>
          <w:szCs w:val="28"/>
        </w:rPr>
        <w:t>име</w:t>
      </w:r>
      <w:r w:rsidR="00E66DDF" w:rsidRPr="00F915FB">
        <w:rPr>
          <w:rFonts w:ascii="Times New Roman CYR" w:hAnsi="Times New Roman CYR" w:cs="Times New Roman CYR"/>
          <w:sz w:val="28"/>
          <w:szCs w:val="28"/>
        </w:rPr>
        <w:t>ю</w:t>
      </w:r>
      <w:r w:rsidR="006624E7" w:rsidRPr="00F915FB">
        <w:rPr>
          <w:rFonts w:ascii="Times New Roman CYR" w:hAnsi="Times New Roman CYR" w:cs="Times New Roman CYR"/>
          <w:sz w:val="28"/>
          <w:szCs w:val="28"/>
        </w:rPr>
        <w:t>т стабильные темпы роста, но доля каждой из них в общем объеме невысока, за исключением услуг связи, и изменение их объемов не вносит существенного изменения в общую структуру потребления платных услуг населением.</w:t>
      </w:r>
    </w:p>
    <w:p w:rsidR="0052012B" w:rsidRPr="00F915FB" w:rsidRDefault="0052012B" w:rsidP="006624E7">
      <w:pPr>
        <w:tabs>
          <w:tab w:val="left" w:pos="9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E3A86" w:rsidRPr="00F915FB" w:rsidRDefault="007E3A86" w:rsidP="007E3A86">
      <w:pPr>
        <w:pStyle w:val="ab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F915FB">
        <w:rPr>
          <w:b/>
          <w:sz w:val="28"/>
          <w:szCs w:val="28"/>
        </w:rPr>
        <w:t>Транспорт</w:t>
      </w:r>
    </w:p>
    <w:p w:rsidR="007E3A86" w:rsidRPr="00F915FB" w:rsidRDefault="007E3A86" w:rsidP="007E3A86">
      <w:pPr>
        <w:pStyle w:val="ab"/>
        <w:spacing w:after="0"/>
        <w:ind w:left="927"/>
        <w:rPr>
          <w:b/>
          <w:sz w:val="28"/>
          <w:szCs w:val="28"/>
        </w:rPr>
      </w:pPr>
    </w:p>
    <w:p w:rsidR="007E3A86" w:rsidRPr="00F915FB" w:rsidRDefault="007E3A86" w:rsidP="007E3A86">
      <w:pPr>
        <w:pStyle w:val="a8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Транспортный комплекс города представлен железнодорожным и автомобильным видами.</w:t>
      </w:r>
      <w:r w:rsidRPr="00F915FB">
        <w:rPr>
          <w:rFonts w:ascii="Times New Roman" w:hAnsi="Times New Roman" w:cs="Times New Roman"/>
          <w:sz w:val="28"/>
          <w:szCs w:val="28"/>
        </w:rPr>
        <w:t xml:space="preserve"> В пределах границ муниципального образования проходят трасса федерального значения «Сибирь» Р-255 и трасса регионального значения «Боготол-Тюхтет».</w:t>
      </w:r>
      <w:r w:rsidRPr="00F915FB">
        <w:rPr>
          <w:rFonts w:ascii="Times New Roman" w:hAnsi="Times New Roman" w:cs="Times New Roman"/>
          <w:sz w:val="28"/>
          <w:szCs w:val="28"/>
          <w:u w:color="E37529"/>
        </w:rPr>
        <w:t xml:space="preserve"> По территории города с запада на восток проходит Транссибирская железнодорожная магистраль, делящая город на 2 жилых района, объединенных общественным центром.</w:t>
      </w:r>
    </w:p>
    <w:p w:rsidR="00E46E2B" w:rsidRPr="00F915FB" w:rsidRDefault="00E46E2B" w:rsidP="00E46E2B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 развитие дорожного хозяйства в 2021 году были направлены средства в сумме 25,5 </w:t>
      </w:r>
      <w:proofErr w:type="spellStart"/>
      <w:r w:rsidRPr="00F915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млн.рублей</w:t>
      </w:r>
      <w:proofErr w:type="spellEnd"/>
      <w:r w:rsidRPr="00F915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За счет данных средств удалось: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 произвести обследование и оценку состояния автомобильных дорог;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 получить 58 паспортов содержащих достоверную информацию о транспортно-эксплуатационном состоянии дорог, их протяженности;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 нанести разметки, установить дублирующие знаки, произвести установку светофорных объектов вблизи общеобразовательных учреждений, установить ограждение опор по ул. Кирова –ул.40 лет Октября, произвести пешеходное ограждение;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 произвести ремонт участков улично-дорожной сети города пер. Спортивный, пер. Железнодорожный общей протяженностью 1,09 км;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F915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устранить </w:t>
      </w:r>
      <w:proofErr w:type="spellStart"/>
      <w:r w:rsidRPr="00F915FB">
        <w:rPr>
          <w:rFonts w:ascii="Times New Roman" w:eastAsia="Calibri" w:hAnsi="Times New Roman" w:cs="Times New Roman"/>
          <w:sz w:val="28"/>
          <w:szCs w:val="28"/>
          <w:lang w:eastAsia="ar-SA"/>
        </w:rPr>
        <w:t>колейности</w:t>
      </w:r>
      <w:proofErr w:type="spellEnd"/>
      <w:r w:rsidRPr="00F915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(ямочный ремонт) 1 619,2 м</w:t>
      </w:r>
      <w:r w:rsidRPr="00F915FB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обеспечить содержание автомобильных дорог общего пользования местного значения;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обеспечить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>содержание остановочных павильонов в соответствие с требованиями;</w:t>
      </w:r>
    </w:p>
    <w:p w:rsidR="005E1F9C" w:rsidRPr="00F915FB" w:rsidRDefault="005E1F9C" w:rsidP="005E1F9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 CYR" w:eastAsia="Calibri" w:hAnsi="Times New Roman CYR" w:cs="Times New Roman CYR"/>
          <w:sz w:val="28"/>
          <w:szCs w:val="28"/>
          <w:lang w:eastAsia="en-US"/>
        </w:rPr>
        <w:t xml:space="preserve">- организовать работу по обеспечению граждан города транспортным обслуживанием. </w:t>
      </w:r>
    </w:p>
    <w:p w:rsidR="00E46E2B" w:rsidRPr="00F915FB" w:rsidRDefault="00E46E2B" w:rsidP="0075604F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Общая протяженность автомобильных дорог местного значения составляет 127,2 км, из них 50,0 км - дороги с усовершенствованным покрытием. При этом только 33% из общей протяженности отвечают нормативным требованиям.</w:t>
      </w:r>
    </w:p>
    <w:p w:rsidR="00E46E2B" w:rsidRPr="00F915FB" w:rsidRDefault="00E46E2B" w:rsidP="0075604F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Поэтому, как и ранее, приоритетным направлением в 2021 году для муниципалитета оставалась работа по обеспечению сохранности и модернизации автомобильных дорог общего пользования местного значения, 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снижение аварийности на дорогах города, сокращение числа погибших и пострадавших в ДТП.</w:t>
      </w:r>
    </w:p>
    <w:p w:rsidR="00E46E2B" w:rsidRPr="00F915FB" w:rsidRDefault="00E46E2B" w:rsidP="0075604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данному направлению в 2021 году произведен ремонт участков улично-дорожной сети города общей протяженностью 2,09 км на сумму 8485,3 тыс. рублей. Выполнены ремонтные работы по улучшению технических параметров автомобильных дорог за счет щебеночного и асфальтобетонного покрытия по пер. Спортивному, пер. Железнодорожному соответственно. </w:t>
      </w:r>
    </w:p>
    <w:p w:rsidR="00E46E2B" w:rsidRPr="00F915FB" w:rsidRDefault="00E46E2B" w:rsidP="0075604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Результатом обследования и оценки состояния автомобильных дорог, стало получение в 2021 году 58 паспортов содержащих достоверную информацию о транспортно-эксплуатационном состоянии дорог, их протяженности.</w:t>
      </w:r>
    </w:p>
    <w:p w:rsidR="00E46E2B" w:rsidRPr="00F915FB" w:rsidRDefault="00E46E2B" w:rsidP="0075604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мероприятий по безопасности на дорогах было сделано следующее: заменено и установлено 80 дорожных знака; обеспечено видимостью знаковой информации при движение ТС и пешеходов – 480 знаков; организована бесперебойная работа всех светофорных объектов. В целях обеспечения видимости пешеходных переходов, искусственных неровностей при движении ТС и пешеходов была нанесена дорожная разметка «Зебра» на 21 пешеходных переходах; обновлена дорожная разметка на 15 искусственных неровностей; нанесена осевая горизонтальная разметка на 21 участке; разметка парковочных мест – 5 шт.; проведены работы по ограждению 4 опор по ул. Кирова; установлено 2 пешеходных модуля на светофорные объекты</w:t>
      </w:r>
    </w:p>
    <w:p w:rsidR="00E46E2B" w:rsidRPr="00F915FB" w:rsidRDefault="00E46E2B" w:rsidP="0075604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исполнения поручения Президента РФ - обеспечение безопасности пешеходов вблизи общеобразовательных учреждений, были выполнены следующие работы: установка светофорных объектов типа Т7 вблизи МБОУ СОШ №3, МБОУ СОШ № 2, МБОУ СОШ № 5 – 6 штук; установка знаков вблизи МБОУ СОШ № 4 - 6 шт.; установлено пешеходное ограждение вблизи МБОУ СОШ № 5 – 94 м.</w:t>
      </w:r>
    </w:p>
    <w:p w:rsidR="00E46E2B" w:rsidRPr="00F915FB" w:rsidRDefault="00E46E2B" w:rsidP="0075604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 Для привлечения внимания водителей в темное время суток и предупреждения (снижения уровня) ДТП с участием детей 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приобретено наглядных пособий (светоотражающих элементов) на сумму 26,4 </w:t>
      </w:r>
      <w:proofErr w:type="spellStart"/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тыс.рублей</w:t>
      </w:r>
      <w:proofErr w:type="spellEnd"/>
    </w:p>
    <w:p w:rsidR="00E46E2B" w:rsidRPr="00F915FB" w:rsidRDefault="00E46E2B" w:rsidP="007560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Для обеспечения безопасности движения пешеходов по улицам города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выполнялись работы по поддержанию 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>беспрепятственного передвижения пешеходов по тротуарной сети города – 21,7 тыс.м</w:t>
      </w:r>
      <w:r w:rsidRPr="00F915F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6E2B" w:rsidRPr="00F915FB" w:rsidRDefault="00E46E2B" w:rsidP="0075604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t>В 2021 проводилось обучение воспитанников детских садов и учащихся начальных классов правилам поведения на дорогах. Приобретено наглядных пособий на сумму 96,0 тыс. рублей1</w:t>
      </w:r>
    </w:p>
    <w:p w:rsidR="00E46E2B" w:rsidRPr="00F915FB" w:rsidRDefault="00E46E2B" w:rsidP="007560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Всё население муниципального образования город Боготол обеспечено регулярными автобусными перевозками. </w:t>
      </w:r>
    </w:p>
    <w:p w:rsidR="00E46E2B" w:rsidRPr="00F915FB" w:rsidRDefault="00E46E2B" w:rsidP="00E46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915FB">
        <w:rPr>
          <w:rFonts w:ascii="Times New Roman CYR" w:eastAsia="Times New Roman" w:hAnsi="Times New Roman CYR" w:cs="Times New Roman CYR"/>
          <w:sz w:val="28"/>
          <w:szCs w:val="28"/>
        </w:rPr>
        <w:t>В соответствии с заключенным муниципальным контрактом на выполнение программы пассажирских перевозок на городских муниципальных маршрутах, перевозку пассажиров, в том числе льготных категорий, осуществляет перевозчик ОАО "Автомобилист".</w:t>
      </w:r>
    </w:p>
    <w:p w:rsidR="00E46E2B" w:rsidRPr="00F915FB" w:rsidRDefault="00E46E2B" w:rsidP="00E46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915FB">
        <w:rPr>
          <w:rFonts w:ascii="Times New Roman CYR" w:eastAsia="Times New Roman" w:hAnsi="Times New Roman CYR" w:cs="Times New Roman CYR"/>
          <w:sz w:val="28"/>
          <w:szCs w:val="28"/>
        </w:rPr>
        <w:t>Всего на территории города функционируют 4 маршрута:</w:t>
      </w:r>
    </w:p>
    <w:p w:rsidR="00E46E2B" w:rsidRPr="00F915FB" w:rsidRDefault="00E46E2B" w:rsidP="00E46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9633" w:type="dxa"/>
        <w:jc w:val="center"/>
        <w:tblLayout w:type="fixed"/>
        <w:tblLook w:val="0000" w:firstRow="0" w:lastRow="0" w:firstColumn="0" w:lastColumn="0" w:noHBand="0" w:noVBand="0"/>
      </w:tblPr>
      <w:tblGrid>
        <w:gridCol w:w="3520"/>
        <w:gridCol w:w="2368"/>
        <w:gridCol w:w="1559"/>
        <w:gridCol w:w="2186"/>
      </w:tblGrid>
      <w:tr w:rsidR="00E46E2B" w:rsidRPr="00F915FB" w:rsidTr="005E1F9C">
        <w:trPr>
          <w:trHeight w:val="667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Наименование маршрута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№ маршрута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Количество ежедневных рейсов</w:t>
            </w:r>
          </w:p>
        </w:tc>
      </w:tr>
      <w:tr w:rsidR="00E46E2B" w:rsidRPr="00F915FB" w:rsidTr="005E1F9C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Школьная – Сибирская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29</w:t>
            </w:r>
          </w:p>
        </w:tc>
      </w:tr>
      <w:tr w:rsidR="00E46E2B" w:rsidRPr="00F915FB" w:rsidTr="005E1F9C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Южный – Заводская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21</w:t>
            </w:r>
          </w:p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915FB">
              <w:rPr>
                <w:rFonts w:ascii="Times New Roman CYR" w:eastAsia="Times New Roman" w:hAnsi="Times New Roman CYR" w:cs="Times New Roman CYR"/>
              </w:rPr>
              <w:t>(кроме выходных и праздничных дней)</w:t>
            </w:r>
          </w:p>
        </w:tc>
      </w:tr>
      <w:tr w:rsidR="00E46E2B" w:rsidRPr="00F915FB" w:rsidTr="005E1F9C">
        <w:trPr>
          <w:trHeight w:val="33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Южный – Опытное 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48</w:t>
            </w:r>
          </w:p>
        </w:tc>
      </w:tr>
      <w:tr w:rsidR="00E46E2B" w:rsidRPr="00F915FB" w:rsidTr="005E1F9C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Больница – ул. 1 </w:t>
            </w:r>
            <w:proofErr w:type="spellStart"/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Зарельсовая</w:t>
            </w:r>
            <w:proofErr w:type="spellEnd"/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3 </w:t>
            </w:r>
          </w:p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915FB">
              <w:rPr>
                <w:rFonts w:ascii="Times New Roman CYR" w:eastAsia="Times New Roman" w:hAnsi="Times New Roman CYR" w:cs="Times New Roman CYR"/>
              </w:rPr>
              <w:t>(кроме выходных и праздничных дней)</w:t>
            </w:r>
          </w:p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2</w:t>
            </w:r>
          </w:p>
          <w:p w:rsidR="00E46E2B" w:rsidRPr="00F915FB" w:rsidRDefault="00E46E2B" w:rsidP="00E46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F915FB">
              <w:rPr>
                <w:rFonts w:ascii="Times New Roman CYR" w:eastAsia="Times New Roman" w:hAnsi="Times New Roman CYR" w:cs="Times New Roman CYR"/>
              </w:rPr>
              <w:t>(в выходные и праздничные дни)</w:t>
            </w:r>
          </w:p>
        </w:tc>
      </w:tr>
    </w:tbl>
    <w:p w:rsidR="005E1F9C" w:rsidRPr="00F915FB" w:rsidRDefault="005E1F9C" w:rsidP="005E1F9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еревезено 710 тыс. человек, произведено 34 тыс. рейсов, пробег с пассажирами составил 379 тыс. км.</w:t>
      </w:r>
    </w:p>
    <w:p w:rsidR="00E46E2B" w:rsidRPr="00F915FB" w:rsidRDefault="00E46E2B" w:rsidP="00E46E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64369" w:rsidRPr="00F915FB" w:rsidRDefault="00064369" w:rsidP="00064369">
      <w:pPr>
        <w:pStyle w:val="ab"/>
        <w:numPr>
          <w:ilvl w:val="0"/>
          <w:numId w:val="1"/>
        </w:numPr>
        <w:spacing w:after="0"/>
        <w:jc w:val="center"/>
        <w:rPr>
          <w:color w:val="000000"/>
          <w:sz w:val="28"/>
          <w:szCs w:val="28"/>
        </w:rPr>
      </w:pPr>
      <w:r w:rsidRPr="00F915FB">
        <w:rPr>
          <w:b/>
          <w:sz w:val="28"/>
          <w:szCs w:val="28"/>
        </w:rPr>
        <w:t>Благоустройство</w:t>
      </w:r>
    </w:p>
    <w:p w:rsidR="00064369" w:rsidRPr="00F915FB" w:rsidRDefault="00064369" w:rsidP="00064369">
      <w:pPr>
        <w:pStyle w:val="ab"/>
        <w:spacing w:after="0"/>
        <w:ind w:left="927"/>
        <w:rPr>
          <w:color w:val="000000"/>
          <w:sz w:val="28"/>
          <w:szCs w:val="28"/>
        </w:rPr>
      </w:pPr>
    </w:p>
    <w:p w:rsidR="005E1F9C" w:rsidRPr="00F915FB" w:rsidRDefault="005E1F9C" w:rsidP="005E1F9C">
      <w:pPr>
        <w:spacing w:after="16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решения задач по благоустройству города, </w:t>
      </w:r>
      <w:r w:rsidRPr="00F915FB">
        <w:rPr>
          <w:rFonts w:ascii="Times New Roman" w:eastAsia="Calibri" w:hAnsi="Times New Roman" w:cs="Times New Roman"/>
          <w:sz w:val="28"/>
          <w:szCs w:val="28"/>
        </w:rPr>
        <w:t>улучшения его эстетического облика и санитарного состояния, повышения качества проживания населения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освоено почти 13,6 </w:t>
      </w:r>
      <w:proofErr w:type="spellStart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млн.рублей</w:t>
      </w:r>
      <w:proofErr w:type="spellEnd"/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</w:rPr>
        <w:t>, в результате чего решены следующие задачи и достигнуты результаты:</w:t>
      </w:r>
    </w:p>
    <w:p w:rsidR="005E1F9C" w:rsidRPr="00F915FB" w:rsidRDefault="005E1F9C" w:rsidP="005E1F9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- при озеленении территории усовершенствовали эстетическое состояние города – произведена обрезка сухих веток, </w:t>
      </w:r>
      <w:proofErr w:type="spellStart"/>
      <w:r w:rsidRPr="00F915FB">
        <w:rPr>
          <w:rFonts w:ascii="Times New Roman" w:eastAsia="Calibri" w:hAnsi="Times New Roman" w:cs="Times New Roman"/>
          <w:sz w:val="28"/>
          <w:szCs w:val="28"/>
        </w:rPr>
        <w:t>кронирование</w:t>
      </w:r>
      <w:proofErr w:type="spellEnd"/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 и валка деревьев, корчевка пней всего в количестве 105 штук;</w:t>
      </w:r>
    </w:p>
    <w:p w:rsidR="005E1F9C" w:rsidRPr="00F915FB" w:rsidRDefault="005E1F9C" w:rsidP="005E1F9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- осуществлялось содержание площадей, бульваров, скверов, парков (уборка территории в летний – зимний периоды), подготовка мест для проведения праздников, приобретение и посадка рассады цветов, кустарников, саженцев деревьев на площадях и бульваре, </w:t>
      </w:r>
    </w:p>
    <w:p w:rsidR="005E1F9C" w:rsidRPr="00F915FB" w:rsidRDefault="005E1F9C" w:rsidP="005E1F9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5FB">
        <w:rPr>
          <w:rFonts w:ascii="Times New Roman" w:eastAsia="Calibri" w:hAnsi="Times New Roman" w:cs="Times New Roman"/>
          <w:sz w:val="28"/>
          <w:szCs w:val="28"/>
        </w:rPr>
        <w:t>-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F915FB">
        <w:rPr>
          <w:rFonts w:ascii="Times New Roman" w:eastAsia="Calibri" w:hAnsi="Times New Roman" w:cs="Times New Roman"/>
          <w:sz w:val="28"/>
          <w:szCs w:val="28"/>
        </w:rPr>
        <w:t>беспечение бесперебойной работы фонтана, обслуживание стелы при въезде в город;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соблюдения требований к санитарно-эпидемиологическому благополучию населения произведен отлов и осуществлены мероприятия, предусмотренные № 498-ФЗ в отношении 103 животных без владельцев, из них 5 животных подвергнуты эвтаназии (в связи с введённым в сентябре 2019 года карантином по бешенству на территории г. Боготола). </w:t>
      </w:r>
      <w:r w:rsidRPr="00F915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Подвергнуты стерилизации (кастрации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вакцинированы против бешенства – 98 животных. 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Объем финансирования по данному мероприятию составляет 843,5 тыс. рублей, фактов нецелевого использования или неполного освоения средств краевой субвенции нет.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15FB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Организована работа по содержанию кладбищ</w:t>
      </w:r>
      <w:r w:rsidRPr="00F915FB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,</w:t>
      </w:r>
      <w:r w:rsidRPr="00F915F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территории МО г. Боготол находится 2 действующих кладбища и 1 кладбище закрытого типа. Площадь кладбищ составляет: Восточное – 10,1 Га, Центральное (закрытое) – 13 Га, Северное – 13,25 Га. По данным журналов регистрации ИП оказывающих ритуальные услуги в 2021 году захоронено 401 умерших. На уборку и вывоз ТБО с территорий кладбищ с погрузкой израсходовано средств 581,9 тыс. руб., площадь обслуживаемой территории составляет 36,41 га. Выполнены работы по ограждению периметра Заводского кладбища протяженностью 200 м. на сумму 248,8 </w:t>
      </w:r>
      <w:proofErr w:type="spellStart"/>
      <w:r w:rsidRPr="00F915FB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тыс.руб</w:t>
      </w:r>
      <w:proofErr w:type="spellEnd"/>
      <w:r w:rsidRPr="00F915FB">
        <w:rPr>
          <w:rFonts w:ascii="Times New Roman" w:eastAsia="Times New Roman" w:hAnsi="Times New Roman" w:cs="Times New Roman"/>
          <w:sz w:val="28"/>
          <w:szCs w:val="28"/>
          <w:lang w:eastAsia="en-US"/>
        </w:rPr>
        <w:t>. Проводилось зимнее содержание кладбищ (прочистка проездов) на сумму 43,7 тыс. рублей.</w:t>
      </w:r>
    </w:p>
    <w:p w:rsidR="005E1F9C" w:rsidRPr="00F915FB" w:rsidRDefault="005E1F9C" w:rsidP="005E1F9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Сегодня одним из важнейших направлений является создание комфортной среды для жизни людей. Именно поэтому в течении последних пяти лет в рамках проекта «Формирование комфортной городской среды» в городе ведется активная работа. Формирование комфортной городской среды -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В рамках реализации федерального приоритетного проекта "Формирование комфортной городской среды» выполнены мероприятия по обустройству мест массового отдыха населения: проведены работы по благоустройству </w:t>
      </w:r>
      <w:r w:rsidRPr="00F915F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дворовой территории по ул. Ефремова, д.4 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>по минимальному перечню и дополнительному перечню и общественного пространства- сквер «Советский» (</w:t>
      </w:r>
      <w:r w:rsidRPr="00F915FB">
        <w:rPr>
          <w:rFonts w:ascii="Times New Roman" w:eastAsia="Calibri" w:hAnsi="Times New Roman" w:cs="Times New Roman"/>
          <w:sz w:val="28"/>
          <w:szCs w:val="28"/>
        </w:rPr>
        <w:t xml:space="preserve">установка малых архитектурных форм, </w:t>
      </w:r>
      <w:proofErr w:type="gramStart"/>
      <w:r w:rsidRPr="00F915FB">
        <w:rPr>
          <w:rFonts w:ascii="Times New Roman" w:eastAsia="Calibri" w:hAnsi="Times New Roman" w:cs="Times New Roman"/>
          <w:sz w:val="28"/>
          <w:szCs w:val="28"/>
        </w:rPr>
        <w:t>озеленение,  освещение</w:t>
      </w:r>
      <w:proofErr w:type="gramEnd"/>
      <w:r w:rsidRPr="00F915FB">
        <w:rPr>
          <w:rFonts w:ascii="Times New Roman" w:eastAsia="Calibri" w:hAnsi="Times New Roman" w:cs="Times New Roman"/>
          <w:sz w:val="28"/>
          <w:szCs w:val="28"/>
        </w:rPr>
        <w:t>, установка остановочного павильона</w:t>
      </w:r>
      <w:r w:rsidRPr="00F915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реновация Стеллы, установка часов). 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Всего на эти цели израсходовано почти 9</w:t>
      </w:r>
      <w:r w:rsidRPr="00F915FB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Pr="00F915F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(по всем источникам финансирования).</w:t>
      </w:r>
    </w:p>
    <w:p w:rsidR="00E46E2B" w:rsidRPr="00F915FB" w:rsidRDefault="00E46E2B" w:rsidP="00E46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5FB">
        <w:rPr>
          <w:rFonts w:ascii="Times New Roman" w:hAnsi="Times New Roman"/>
          <w:i/>
          <w:sz w:val="28"/>
          <w:szCs w:val="28"/>
        </w:rPr>
        <w:t xml:space="preserve">Для поддержания нормативных требований и дальнейшего совершенствования, и развития системы городского уличного освещения </w:t>
      </w:r>
      <w:r w:rsidRPr="00F915FB">
        <w:rPr>
          <w:rFonts w:ascii="Times New Roman" w:hAnsi="Times New Roman"/>
          <w:sz w:val="28"/>
          <w:szCs w:val="28"/>
          <w:shd w:val="clear" w:color="auto" w:fill="FFFFFF"/>
        </w:rPr>
        <w:t>в 2021 году (дополнительно к уже имеющимся) освещено – 4,5 км улиц. Дополнительно установлено 44 светильников</w:t>
      </w:r>
      <w:r w:rsidRPr="00F915FB">
        <w:rPr>
          <w:rFonts w:ascii="Times New Roman" w:hAnsi="Times New Roman"/>
          <w:sz w:val="24"/>
          <w:szCs w:val="24"/>
        </w:rPr>
        <w:t xml:space="preserve">, </w:t>
      </w:r>
      <w:r w:rsidRPr="00F915FB">
        <w:rPr>
          <w:rFonts w:ascii="Times New Roman" w:hAnsi="Times New Roman"/>
          <w:sz w:val="28"/>
          <w:szCs w:val="28"/>
          <w:shd w:val="clear" w:color="auto" w:fill="FFFFFF"/>
        </w:rPr>
        <w:t>заменено светильников – 58шт.</w:t>
      </w:r>
    </w:p>
    <w:p w:rsidR="00E46E2B" w:rsidRPr="00F14828" w:rsidRDefault="00E46E2B" w:rsidP="00E46E2B">
      <w:pPr>
        <w:spacing w:after="0" w:line="240" w:lineRule="auto"/>
        <w:ind w:firstLine="567"/>
        <w:jc w:val="both"/>
        <w:rPr>
          <w:rFonts w:eastAsia="Times New Roman"/>
        </w:rPr>
      </w:pPr>
      <w:r w:rsidRPr="00F915FB">
        <w:rPr>
          <w:rFonts w:ascii="Times New Roman" w:eastAsia="Times New Roman" w:hAnsi="Times New Roman"/>
          <w:sz w:val="28"/>
          <w:szCs w:val="28"/>
        </w:rPr>
        <w:t xml:space="preserve">В целях нормализации работы </w:t>
      </w:r>
      <w:r w:rsidRPr="00F915FB">
        <w:rPr>
          <w:rFonts w:ascii="Times New Roman" w:hAnsi="Times New Roman"/>
          <w:sz w:val="28"/>
          <w:szCs w:val="28"/>
        </w:rPr>
        <w:t xml:space="preserve">водопропускной системы и избегания подтоплений на территории города Боготола в весенне-осенний период восстановлены профили водоотводных канав, осуществлена </w:t>
      </w:r>
      <w:r w:rsidRPr="00F915FB">
        <w:rPr>
          <w:rFonts w:ascii="Times New Roman" w:eastAsia="Times New Roman" w:hAnsi="Times New Roman"/>
          <w:sz w:val="28"/>
          <w:szCs w:val="28"/>
        </w:rPr>
        <w:t>перекладка ж/б и металлических водопропускных труб – 106 м. на сумму 369,0 тыс. руб.</w:t>
      </w:r>
    </w:p>
    <w:p w:rsidR="00E46E2B" w:rsidRPr="00943DB9" w:rsidRDefault="00E46E2B" w:rsidP="00943DB9">
      <w:pPr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10543E" w:rsidRPr="0010543E" w:rsidRDefault="0010543E" w:rsidP="0010543E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  <w:u w:color="FF0000"/>
        </w:rPr>
      </w:pPr>
      <w:r w:rsidRPr="0010543E">
        <w:rPr>
          <w:b/>
          <w:sz w:val="28"/>
          <w:szCs w:val="28"/>
          <w:u w:color="FF0000"/>
        </w:rPr>
        <w:t xml:space="preserve"> Социальная сфера</w:t>
      </w:r>
    </w:p>
    <w:p w:rsidR="0010543E" w:rsidRPr="0010543E" w:rsidRDefault="0010543E" w:rsidP="0010543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color="FF0000"/>
        </w:rPr>
      </w:pPr>
    </w:p>
    <w:p w:rsidR="00461761" w:rsidRPr="00461761" w:rsidRDefault="00064369" w:rsidP="00461761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644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политика в области социальной защиты и социальной поддержки населения представляет собой реализацию собственных и переданных государственных полномочий по организации комплекса мероприятий, направленных на предохранение отдельных уязвимых групп населения и граждан от попадания в зону крайнего социального </w:t>
      </w:r>
      <w:r w:rsidRPr="00B0644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неблагополучия. </w:t>
      </w:r>
      <w:r w:rsidR="00461761" w:rsidRPr="00461761">
        <w:rPr>
          <w:rFonts w:ascii="Times New Roman" w:hAnsi="Times New Roman" w:cs="Times New Roman"/>
          <w:color w:val="000000"/>
          <w:sz w:val="28"/>
          <w:szCs w:val="28"/>
        </w:rPr>
        <w:t xml:space="preserve">благополучие людей, достаток в семьях. Роль социальной защиты в решении поставленных задач очень велика. Социальная политика является мощным инструментом государственной политики и играет большую роль в сохранении социальной стабильности в обществе, что требует от самой системы повышения ее эффективности, в том числе перехода на новые технологии. </w:t>
      </w:r>
    </w:p>
    <w:p w:rsidR="00F915FB" w:rsidRPr="00F915FB" w:rsidRDefault="00F915FB" w:rsidP="00F915F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Приоритетными направлениями работы системы социальной защиты населения являются реализация мероприятий и достижение целевых показателей национального проекта «Демография» и совершенствование системы социальной поддержки с учетом критериев справедливости, адресности и принципа нуждаемости. </w:t>
      </w:r>
    </w:p>
    <w:p w:rsidR="00F915FB" w:rsidRPr="00F915FB" w:rsidRDefault="00F915FB" w:rsidP="00F915F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города Боготола по состоянию на 1 января 2022 года проживает 6 </w:t>
      </w:r>
      <w:r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 пенсионер, </w:t>
      </w:r>
      <w:r>
        <w:rPr>
          <w:rFonts w:ascii="Times New Roman" w:hAnsi="Times New Roman" w:cs="Times New Roman"/>
          <w:color w:val="000000"/>
          <w:sz w:val="28"/>
          <w:szCs w:val="28"/>
        </w:rPr>
        <w:t>548</w:t>
      </w: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 из них получают пенсию ниже прожиточного минимума.</w:t>
      </w:r>
    </w:p>
    <w:p w:rsidR="00F915FB" w:rsidRPr="00F915FB" w:rsidRDefault="00F915FB" w:rsidP="00F915FB">
      <w:pPr>
        <w:shd w:val="clear" w:color="auto" w:fill="FFFFFF"/>
        <w:spacing w:line="240" w:lineRule="auto"/>
        <w:ind w:firstLine="14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        В 2021 году все действующие в Красноярском крае меры социальной поддержки были сохранены, а </w:t>
      </w:r>
      <w:proofErr w:type="gramStart"/>
      <w:r w:rsidRPr="00F915FB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proofErr w:type="gramEnd"/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 появились новые, предоставляемые за счет средств краевого и федерального бюджетов.  Год стал отправным для целого ряда федеральных и региональных выплат.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 расширен перечень мер социальной поддержки граждан, в первую очередь для семей с детьми, проиндексированы социальные выплаты, с января на 3,6%. По инициативе Губернатора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А.Усса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2021 году принято решение о продлении в Красноярском крае до 31.12.2026 года действия регионального материнского капитала. Также в крае было принято решение об установлении дополнительных выплат всем жителям региона (детям ВОВ). </w:t>
      </w:r>
      <w:r w:rsidRPr="004617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761">
        <w:rPr>
          <w:rFonts w:ascii="Times New Roman" w:hAnsi="Times New Roman"/>
          <w:sz w:val="28"/>
          <w:szCs w:val="28"/>
        </w:rPr>
        <w:t xml:space="preserve">    </w:t>
      </w:r>
    </w:p>
    <w:p w:rsidR="00F915FB" w:rsidRPr="00F915FB" w:rsidRDefault="00F915FB" w:rsidP="00F915F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Одним из приоритетных на сегодняшний день направлений является социальное обслуживание граждан. В 2021 году социальными услугами воспользовались 2 644 граждан. За год оказано 166 783 услуги.  </w:t>
      </w:r>
    </w:p>
    <w:p w:rsidR="00F915FB" w:rsidRPr="00F915FB" w:rsidRDefault="00F915FB" w:rsidP="00F915F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5FB">
        <w:rPr>
          <w:rFonts w:ascii="Times New Roman" w:hAnsi="Times New Roman" w:cs="Times New Roman"/>
          <w:color w:val="000000"/>
          <w:sz w:val="28"/>
          <w:szCs w:val="28"/>
        </w:rPr>
        <w:t xml:space="preserve">В целях повышения качества и доступности государственных и муниципальных услуг, снижения административных барьеров была организована работа по предоставлению социальных услуг по принципу «Одного окна». </w:t>
      </w:r>
    </w:p>
    <w:p w:rsidR="005E1F9C" w:rsidRDefault="005E1F9C" w:rsidP="005E1F9C">
      <w:pPr>
        <w:pStyle w:val="a4"/>
        <w:ind w:left="0" w:firstLine="567"/>
        <w:jc w:val="both"/>
        <w:rPr>
          <w:sz w:val="28"/>
          <w:szCs w:val="28"/>
        </w:rPr>
      </w:pPr>
      <w:r w:rsidRPr="00043870">
        <w:rPr>
          <w:sz w:val="28"/>
          <w:szCs w:val="28"/>
        </w:rPr>
        <w:t xml:space="preserve">Система образования г. Боготола </w:t>
      </w:r>
      <w:r>
        <w:rPr>
          <w:sz w:val="28"/>
          <w:szCs w:val="28"/>
        </w:rPr>
        <w:t>в 2021 году не претерпела инфраструктурных изменений,</w:t>
      </w:r>
      <w:r w:rsidRPr="005B4A09">
        <w:rPr>
          <w:sz w:val="28"/>
          <w:szCs w:val="28"/>
        </w:rPr>
        <w:t xml:space="preserve"> </w:t>
      </w:r>
      <w:r w:rsidRPr="007215D0">
        <w:rPr>
          <w:sz w:val="28"/>
          <w:szCs w:val="28"/>
        </w:rPr>
        <w:t>сохранены все образовательные учреждения</w:t>
      </w:r>
      <w:r>
        <w:rPr>
          <w:sz w:val="28"/>
          <w:szCs w:val="28"/>
        </w:rPr>
        <w:t xml:space="preserve">. </w:t>
      </w:r>
      <w:r w:rsidRPr="005B4A09">
        <w:rPr>
          <w:sz w:val="28"/>
          <w:szCs w:val="28"/>
        </w:rPr>
        <w:t xml:space="preserve">В пяти общеобразовательных школах обучаются 2731 человек, (из них 17 человек обучаются заочно и 118 – по адаптированным программам для детей с ограниченными возможностями здоровья). На конец 2020-2021 учебного </w:t>
      </w:r>
      <w:proofErr w:type="gramStart"/>
      <w:r w:rsidRPr="005B4A09">
        <w:rPr>
          <w:sz w:val="28"/>
          <w:szCs w:val="28"/>
        </w:rPr>
        <w:t>года  98</w:t>
      </w:r>
      <w:proofErr w:type="gramEnd"/>
      <w:r w:rsidRPr="005B4A09">
        <w:rPr>
          <w:sz w:val="28"/>
          <w:szCs w:val="28"/>
        </w:rPr>
        <w:t xml:space="preserve">,8% школьников успешно освоили программу, из них на «4» и «5» - 39,4%. </w:t>
      </w:r>
      <w:r w:rsidRPr="00043870">
        <w:rPr>
          <w:sz w:val="28"/>
          <w:szCs w:val="28"/>
        </w:rPr>
        <w:t>ЕГЭ сдавали только те выпускники, которые планировали поступле</w:t>
      </w:r>
      <w:r>
        <w:rPr>
          <w:sz w:val="28"/>
          <w:szCs w:val="28"/>
        </w:rPr>
        <w:t>ние в ВУЗы, таких в 2021</w:t>
      </w:r>
      <w:r w:rsidRPr="00043870">
        <w:rPr>
          <w:sz w:val="28"/>
          <w:szCs w:val="28"/>
        </w:rPr>
        <w:t xml:space="preserve"> году </w:t>
      </w:r>
      <w:r w:rsidRPr="00050D05">
        <w:rPr>
          <w:sz w:val="28"/>
          <w:szCs w:val="28"/>
        </w:rPr>
        <w:t>было 97 человек.</w:t>
      </w:r>
      <w:r w:rsidRPr="005B4A09">
        <w:rPr>
          <w:sz w:val="28"/>
          <w:szCs w:val="28"/>
        </w:rPr>
        <w:t xml:space="preserve"> Дополнительное образование получали 1 014 детей. </w:t>
      </w:r>
      <w:r w:rsidRPr="007215D0">
        <w:rPr>
          <w:sz w:val="28"/>
          <w:szCs w:val="28"/>
        </w:rPr>
        <w:t xml:space="preserve">Для детей созданы доступные условия для дополнительного образования и охват от общего числа детей данной категории в настоящее время составляет 61,9%. В городе внедрена система персонифицированного финансирования, 25% детей в </w:t>
      </w:r>
      <w:proofErr w:type="gramStart"/>
      <w:r w:rsidRPr="007215D0">
        <w:rPr>
          <w:sz w:val="28"/>
          <w:szCs w:val="28"/>
        </w:rPr>
        <w:t>возрасте  от</w:t>
      </w:r>
      <w:proofErr w:type="gramEnd"/>
      <w:r w:rsidRPr="007215D0">
        <w:rPr>
          <w:sz w:val="28"/>
          <w:szCs w:val="28"/>
        </w:rPr>
        <w:t xml:space="preserve"> 5 до 18 лет обеспечены сертификатами персонифицированного финансирования. </w:t>
      </w:r>
    </w:p>
    <w:p w:rsidR="005E1F9C" w:rsidRDefault="005E1F9C" w:rsidP="005E1F9C">
      <w:pPr>
        <w:pStyle w:val="a4"/>
        <w:ind w:left="0" w:firstLine="567"/>
        <w:jc w:val="both"/>
        <w:rPr>
          <w:sz w:val="28"/>
          <w:szCs w:val="28"/>
        </w:rPr>
      </w:pPr>
      <w:r w:rsidRPr="005B4A09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Н</w:t>
      </w:r>
      <w:r w:rsidRPr="005B4A09">
        <w:rPr>
          <w:sz w:val="28"/>
          <w:szCs w:val="28"/>
        </w:rPr>
        <w:t xml:space="preserve">а базе школ №3, №2, № 4 были созданы центры образования естественно-научной и технологической направленностей «Точка роста». </w:t>
      </w:r>
      <w:r w:rsidRPr="00A7133A">
        <w:rPr>
          <w:sz w:val="28"/>
          <w:szCs w:val="28"/>
        </w:rPr>
        <w:t xml:space="preserve">Главная задача на сегодня – суметь наиболее эффективно использовать полученное оборудование и обеспечить полноценное развитие детей школьного возраста. Этому способствует и подключение к единой сети интернет по волоконно-оптической линии связи </w:t>
      </w:r>
      <w:r>
        <w:rPr>
          <w:sz w:val="28"/>
          <w:szCs w:val="28"/>
        </w:rPr>
        <w:t>всех школ города.</w:t>
      </w:r>
    </w:p>
    <w:p w:rsidR="005E1F9C" w:rsidRDefault="005E1F9C" w:rsidP="005E1F9C">
      <w:pPr>
        <w:pStyle w:val="a4"/>
        <w:ind w:left="0" w:firstLine="567"/>
        <w:jc w:val="both"/>
        <w:rPr>
          <w:sz w:val="28"/>
          <w:szCs w:val="28"/>
        </w:rPr>
      </w:pPr>
      <w:r w:rsidRPr="00043870">
        <w:rPr>
          <w:sz w:val="28"/>
          <w:szCs w:val="28"/>
        </w:rPr>
        <w:t xml:space="preserve">На основании Перечня поручений по реализации посланий Президента Федеральному Собранию от 24.01.2020 № Пр-113 с сентября 2020 года горячее питание без взимания платы получают все обучающиеся начальной школы – </w:t>
      </w:r>
      <w:proofErr w:type="gramStart"/>
      <w:r w:rsidRPr="00043870">
        <w:rPr>
          <w:sz w:val="28"/>
          <w:szCs w:val="28"/>
        </w:rPr>
        <w:t xml:space="preserve">это  </w:t>
      </w:r>
      <w:r w:rsidRPr="007C68E0">
        <w:rPr>
          <w:sz w:val="28"/>
          <w:szCs w:val="28"/>
        </w:rPr>
        <w:t>1</w:t>
      </w:r>
      <w:proofErr w:type="gramEnd"/>
      <w:r w:rsidRPr="007C68E0">
        <w:rPr>
          <w:sz w:val="28"/>
          <w:szCs w:val="28"/>
        </w:rPr>
        <w:t> 179</w:t>
      </w:r>
      <w:r w:rsidRPr="00043870">
        <w:rPr>
          <w:sz w:val="28"/>
          <w:szCs w:val="28"/>
        </w:rPr>
        <w:t xml:space="preserve"> ученика.  </w:t>
      </w:r>
      <w:r w:rsidRPr="007C68E0">
        <w:rPr>
          <w:sz w:val="28"/>
          <w:szCs w:val="28"/>
        </w:rPr>
        <w:t>По итогам летней оздоровительной кампании в пяти пришкольных лагерях с дневным пребыванием отдохнули 540 детей. На данное мероприятие затрачено 1 456,8 тыс. рублей.</w:t>
      </w:r>
      <w:r>
        <w:rPr>
          <w:sz w:val="28"/>
          <w:szCs w:val="28"/>
        </w:rPr>
        <w:t xml:space="preserve"> </w:t>
      </w:r>
      <w:r w:rsidRPr="00043870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043870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043870">
        <w:rPr>
          <w:sz w:val="28"/>
          <w:szCs w:val="28"/>
        </w:rPr>
        <w:t xml:space="preserve"> учебном году учебниками обеспечены все общеобразовательные учреждения в 100 % объеме</w:t>
      </w:r>
      <w:r>
        <w:rPr>
          <w:sz w:val="28"/>
          <w:szCs w:val="28"/>
        </w:rPr>
        <w:t xml:space="preserve">. </w:t>
      </w:r>
    </w:p>
    <w:p w:rsidR="005E1F9C" w:rsidRDefault="005E1F9C" w:rsidP="005E1F9C">
      <w:pPr>
        <w:pStyle w:val="a4"/>
        <w:ind w:left="0" w:firstLine="567"/>
        <w:jc w:val="both"/>
        <w:rPr>
          <w:sz w:val="28"/>
          <w:szCs w:val="28"/>
        </w:rPr>
      </w:pPr>
      <w:r w:rsidRPr="00043870">
        <w:rPr>
          <w:sz w:val="28"/>
          <w:szCs w:val="28"/>
        </w:rPr>
        <w:t xml:space="preserve">На </w:t>
      </w:r>
      <w:proofErr w:type="gramStart"/>
      <w:r w:rsidRPr="00043870">
        <w:rPr>
          <w:sz w:val="28"/>
          <w:szCs w:val="28"/>
        </w:rPr>
        <w:t>территории  г.</w:t>
      </w:r>
      <w:proofErr w:type="gramEnd"/>
      <w:r w:rsidRPr="00043870">
        <w:rPr>
          <w:sz w:val="28"/>
          <w:szCs w:val="28"/>
        </w:rPr>
        <w:t xml:space="preserve"> Боготола  проживает 1 813  детей   дошкольного возраста. </w:t>
      </w:r>
      <w:r>
        <w:rPr>
          <w:sz w:val="28"/>
          <w:szCs w:val="28"/>
        </w:rPr>
        <w:t xml:space="preserve"> </w:t>
      </w:r>
      <w:r w:rsidRPr="007C68E0">
        <w:rPr>
          <w:sz w:val="28"/>
          <w:szCs w:val="28"/>
        </w:rPr>
        <w:t xml:space="preserve">В 2021году в шести детских садах оказывались образовательные услуги для 985 дошкольников, получили путевки в сады 173 ребенка, окончили дошкольное образование 239 воспитанников. В связи с решением задач, поставленных Президентом по развитию детей раннего возраста, в двух детских садах открыты группы для детей от 1 года до 3 лет. </w:t>
      </w:r>
      <w:r>
        <w:rPr>
          <w:sz w:val="28"/>
          <w:szCs w:val="28"/>
        </w:rPr>
        <w:t xml:space="preserve">   </w:t>
      </w:r>
      <w:r w:rsidRPr="00043870">
        <w:rPr>
          <w:sz w:val="28"/>
          <w:szCs w:val="28"/>
        </w:rPr>
        <w:t xml:space="preserve">Обеспеченность местами в детских садах </w:t>
      </w:r>
      <w:proofErr w:type="gramStart"/>
      <w:r w:rsidRPr="00043870">
        <w:rPr>
          <w:sz w:val="28"/>
          <w:szCs w:val="28"/>
        </w:rPr>
        <w:t>детей  с</w:t>
      </w:r>
      <w:proofErr w:type="gramEnd"/>
      <w:r w:rsidRPr="00043870">
        <w:rPr>
          <w:sz w:val="28"/>
          <w:szCs w:val="28"/>
        </w:rPr>
        <w:t xml:space="preserve"> 3 до 7 лет составляет  100%. Во всех детских садах созданы необходимые условия для медицинского и социально-психологического обеспечения </w:t>
      </w:r>
      <w:proofErr w:type="spellStart"/>
      <w:r w:rsidRPr="00043870">
        <w:rPr>
          <w:sz w:val="28"/>
          <w:szCs w:val="28"/>
        </w:rPr>
        <w:t>воспитательно</w:t>
      </w:r>
      <w:proofErr w:type="spellEnd"/>
      <w:r w:rsidRPr="00043870">
        <w:rPr>
          <w:sz w:val="28"/>
          <w:szCs w:val="28"/>
        </w:rPr>
        <w:t xml:space="preserve">-образовательного процесса. Детские </w:t>
      </w:r>
      <w:proofErr w:type="gramStart"/>
      <w:r w:rsidRPr="00043870">
        <w:rPr>
          <w:sz w:val="28"/>
          <w:szCs w:val="28"/>
        </w:rPr>
        <w:t>сады  полностью</w:t>
      </w:r>
      <w:proofErr w:type="gramEnd"/>
      <w:r w:rsidRPr="00043870">
        <w:rPr>
          <w:sz w:val="28"/>
          <w:szCs w:val="28"/>
        </w:rPr>
        <w:t xml:space="preserve"> укомплектованы кадрами в соответствии со штатным расписанием.</w:t>
      </w:r>
      <w:r w:rsidRPr="00043870">
        <w:rPr>
          <w:b/>
          <w:sz w:val="28"/>
          <w:szCs w:val="28"/>
        </w:rPr>
        <w:t xml:space="preserve"> </w:t>
      </w:r>
      <w:r w:rsidRPr="00043870">
        <w:rPr>
          <w:sz w:val="28"/>
          <w:szCs w:val="28"/>
        </w:rPr>
        <w:t>Удовлетворенность родителей качеством работы дошкольных учреждений составила 95%.</w:t>
      </w:r>
    </w:p>
    <w:p w:rsidR="005E1F9C" w:rsidRDefault="005E1F9C" w:rsidP="005E1F9C">
      <w:pPr>
        <w:pStyle w:val="a4"/>
        <w:ind w:left="0"/>
        <w:jc w:val="both"/>
        <w:rPr>
          <w:sz w:val="28"/>
          <w:szCs w:val="28"/>
        </w:rPr>
      </w:pPr>
      <w:r w:rsidRPr="00043870">
        <w:rPr>
          <w:sz w:val="28"/>
          <w:szCs w:val="28"/>
        </w:rPr>
        <w:t xml:space="preserve">        </w:t>
      </w:r>
      <w:r w:rsidRPr="007C68E0">
        <w:rPr>
          <w:sz w:val="28"/>
          <w:szCs w:val="28"/>
        </w:rPr>
        <w:t xml:space="preserve">В системе образования трудятся 643 человека, из них 285 педагогических работников, в их числе «Заслуженный учитель Российской Федерации», 5 человек имеют почетное звание «Заслуженный педагог Красноярского края», 47 человек награждены ведомственными наградами, 38 человек - краевыми наградами, 11 победителей городской премии «Гордость Боготола» в номинации «Работник образования года», 2 педагога – победители краевого конкурса среди педагогических работников, успешно работающих с одаренными детьми. В 2021 г. продолжалось </w:t>
      </w:r>
      <w:proofErr w:type="gramStart"/>
      <w:r w:rsidRPr="007C68E0">
        <w:rPr>
          <w:sz w:val="28"/>
          <w:szCs w:val="28"/>
        </w:rPr>
        <w:t>формирование  кадрового</w:t>
      </w:r>
      <w:proofErr w:type="gramEnd"/>
      <w:r w:rsidRPr="007C68E0">
        <w:rPr>
          <w:sz w:val="28"/>
          <w:szCs w:val="28"/>
        </w:rPr>
        <w:t xml:space="preserve"> резерва. В городские школы ежегодно приходят молодые специалисты, в городе создано молодежное педагогическое сообщество из 32 человек. По итогам конкурсного отбора незанятых (незамещенных) должностей учителей в рамках федеральной программы «Земский учитель» с 1 сентября 2021 года приняты два педагога: учитель математики в школу № </w:t>
      </w:r>
      <w:proofErr w:type="gramStart"/>
      <w:r w:rsidRPr="007C68E0">
        <w:rPr>
          <w:sz w:val="28"/>
          <w:szCs w:val="28"/>
        </w:rPr>
        <w:t>3</w:t>
      </w:r>
      <w:proofErr w:type="gramEnd"/>
      <w:r w:rsidRPr="007C68E0">
        <w:rPr>
          <w:sz w:val="28"/>
          <w:szCs w:val="28"/>
        </w:rPr>
        <w:t xml:space="preserve"> и учитель английского языка в школу 6, педагоги получили квартиры и заключили трудовые договоры на 5 лет.</w:t>
      </w:r>
    </w:p>
    <w:p w:rsidR="005E1F9C" w:rsidRPr="00043870" w:rsidRDefault="005E1F9C" w:rsidP="005E1F9C">
      <w:pPr>
        <w:pStyle w:val="a4"/>
        <w:ind w:left="0" w:firstLine="567"/>
        <w:jc w:val="both"/>
        <w:rPr>
          <w:sz w:val="28"/>
          <w:szCs w:val="28"/>
        </w:rPr>
      </w:pPr>
      <w:r w:rsidRPr="00043870">
        <w:rPr>
          <w:sz w:val="28"/>
          <w:szCs w:val="28"/>
        </w:rPr>
        <w:t xml:space="preserve">  Реализация большинства региональных проектов не возможна без обновления воспитательных программ, без консолидированного участия всех </w:t>
      </w:r>
      <w:r w:rsidRPr="00043870">
        <w:rPr>
          <w:sz w:val="28"/>
          <w:szCs w:val="28"/>
        </w:rPr>
        <w:lastRenderedPageBreak/>
        <w:t xml:space="preserve">участников образовательного процесса, учреждений культуры и спорта, общественных структур, некоммерческих организаций. </w:t>
      </w:r>
    </w:p>
    <w:p w:rsidR="005E1F9C" w:rsidRDefault="005E1F9C" w:rsidP="005E1F9C">
      <w:pPr>
        <w:autoSpaceDE w:val="0"/>
        <w:autoSpaceDN w:val="0"/>
        <w:spacing w:line="240" w:lineRule="auto"/>
        <w:ind w:firstLine="567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043870">
        <w:rPr>
          <w:rFonts w:ascii="Times New Roman CYR" w:hAnsi="Times New Roman CYR" w:cs="Times New Roman CYR"/>
          <w:sz w:val="28"/>
          <w:szCs w:val="28"/>
        </w:rPr>
        <w:t>Анализ деятельности культурно-досуговых учреждений показал, что они продолжают оставаться центрами социально-культурной жизни города. Их деятельность остается самой массовой, доступной, демократичной по приобщению населения к культуре.</w:t>
      </w:r>
      <w:r w:rsidRPr="005326D2">
        <w:t xml:space="preserve"> </w:t>
      </w:r>
      <w:r w:rsidRPr="005326D2">
        <w:rPr>
          <w:rFonts w:ascii="Times New Roman CYR" w:hAnsi="Times New Roman CYR" w:cs="Times New Roman CYR"/>
          <w:sz w:val="28"/>
          <w:szCs w:val="28"/>
        </w:rPr>
        <w:t>Количество посетителей учреждений культурно-досугового типа на 1 тыс. человек населения в 2021году составило 600 чел.</w:t>
      </w:r>
    </w:p>
    <w:p w:rsidR="005E1F9C" w:rsidRPr="007215D0" w:rsidRDefault="005E1F9C" w:rsidP="005E1F9C">
      <w:pPr>
        <w:autoSpaceDE w:val="0"/>
        <w:autoSpaceDN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215D0">
        <w:rPr>
          <w:rFonts w:ascii="Times New Roman" w:hAnsi="Times New Roman"/>
          <w:sz w:val="28"/>
          <w:szCs w:val="28"/>
        </w:rPr>
        <w:t>В муниципальном бюджетном учреждении культуры «</w:t>
      </w:r>
      <w:proofErr w:type="spellStart"/>
      <w:r w:rsidRPr="007215D0">
        <w:rPr>
          <w:rFonts w:ascii="Times New Roman" w:hAnsi="Times New Roman"/>
          <w:sz w:val="28"/>
          <w:szCs w:val="28"/>
        </w:rPr>
        <w:t>Боготольский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 городской дворец культуры имени </w:t>
      </w:r>
      <w:proofErr w:type="spellStart"/>
      <w:r w:rsidRPr="007215D0">
        <w:rPr>
          <w:rFonts w:ascii="Times New Roman" w:hAnsi="Times New Roman"/>
          <w:sz w:val="28"/>
          <w:szCs w:val="28"/>
        </w:rPr>
        <w:t>В.И.Трегубовича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» стабильно действуют 29 клубных формирований, где занимаются 581 человек. </w:t>
      </w:r>
      <w:r w:rsidRPr="007215D0">
        <w:rPr>
          <w:rFonts w:ascii="Times New Roman" w:hAnsi="Times New Roman"/>
          <w:bCs/>
          <w:sz w:val="28"/>
          <w:szCs w:val="28"/>
        </w:rPr>
        <w:t>Разнообразие клубных формирований позволяет населению города выбирать любые варианты.</w:t>
      </w:r>
      <w:r w:rsidRPr="007215D0">
        <w:rPr>
          <w:rFonts w:ascii="Times New Roman" w:hAnsi="Times New Roman"/>
          <w:sz w:val="28"/>
          <w:szCs w:val="28"/>
        </w:rPr>
        <w:t xml:space="preserve"> </w:t>
      </w:r>
      <w:r w:rsidRPr="005326D2">
        <w:rPr>
          <w:rFonts w:ascii="Times New Roman" w:hAnsi="Times New Roman"/>
          <w:sz w:val="28"/>
          <w:szCs w:val="28"/>
        </w:rPr>
        <w:t>Продолжает свою работу кинозал, открытый в 2019 году в рамках Национального проекта «Культура». За 202</w:t>
      </w:r>
      <w:r>
        <w:rPr>
          <w:rFonts w:ascii="Times New Roman" w:hAnsi="Times New Roman"/>
          <w:sz w:val="28"/>
          <w:szCs w:val="28"/>
        </w:rPr>
        <w:t>1</w:t>
      </w:r>
      <w:r w:rsidRPr="005326D2">
        <w:rPr>
          <w:rFonts w:ascii="Times New Roman" w:hAnsi="Times New Roman"/>
          <w:sz w:val="28"/>
          <w:szCs w:val="28"/>
        </w:rPr>
        <w:t xml:space="preserve"> года план по показу фильмов только российского кинематографа выполнен на </w:t>
      </w:r>
      <w:r>
        <w:rPr>
          <w:rFonts w:ascii="Times New Roman" w:hAnsi="Times New Roman"/>
          <w:sz w:val="28"/>
          <w:szCs w:val="28"/>
        </w:rPr>
        <w:t>112,6</w:t>
      </w:r>
      <w:r w:rsidRPr="005326D2">
        <w:rPr>
          <w:rFonts w:ascii="Times New Roman" w:hAnsi="Times New Roman"/>
          <w:sz w:val="28"/>
          <w:szCs w:val="28"/>
        </w:rPr>
        <w:t xml:space="preserve">%. </w:t>
      </w:r>
    </w:p>
    <w:p w:rsidR="005E1F9C" w:rsidRPr="005326D2" w:rsidRDefault="005E1F9C" w:rsidP="005E1F9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215D0">
        <w:rPr>
          <w:rFonts w:ascii="Times New Roman" w:hAnsi="Times New Roman"/>
          <w:sz w:val="28"/>
          <w:szCs w:val="28"/>
        </w:rPr>
        <w:t xml:space="preserve">          Приобретение отдельно стоящего здания для Центральной библиотеки </w:t>
      </w:r>
      <w:proofErr w:type="spellStart"/>
      <w:r w:rsidRPr="007215D0">
        <w:rPr>
          <w:rFonts w:ascii="Times New Roman" w:hAnsi="Times New Roman"/>
          <w:sz w:val="28"/>
          <w:szCs w:val="28"/>
        </w:rPr>
        <w:t>им.А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215D0">
        <w:rPr>
          <w:rFonts w:ascii="Times New Roman" w:hAnsi="Times New Roman"/>
          <w:sz w:val="28"/>
          <w:szCs w:val="28"/>
        </w:rPr>
        <w:t>Ероховца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 площадью 275 </w:t>
      </w:r>
      <w:proofErr w:type="spellStart"/>
      <w:r w:rsidRPr="007215D0">
        <w:rPr>
          <w:rFonts w:ascii="Times New Roman" w:hAnsi="Times New Roman"/>
          <w:sz w:val="28"/>
          <w:szCs w:val="28"/>
        </w:rPr>
        <w:t>кв.м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. и переезд библиотеки в </w:t>
      </w:r>
      <w:proofErr w:type="gramStart"/>
      <w:r w:rsidRPr="007215D0">
        <w:rPr>
          <w:rFonts w:ascii="Times New Roman" w:hAnsi="Times New Roman"/>
          <w:sz w:val="28"/>
          <w:szCs w:val="28"/>
        </w:rPr>
        <w:t>апреле  2021</w:t>
      </w:r>
      <w:proofErr w:type="gramEnd"/>
      <w:r w:rsidRPr="007215D0">
        <w:rPr>
          <w:rFonts w:ascii="Times New Roman" w:hAnsi="Times New Roman"/>
          <w:sz w:val="28"/>
          <w:szCs w:val="28"/>
        </w:rPr>
        <w:t xml:space="preserve"> года способствовало объединению под одной крышей нескольких отделов библиотеки: администрации библиотеки, отдела обслуживания, методического отдела и ресурсного центра поддержки общественных инициатив. В библиотеке выделена уютная </w:t>
      </w:r>
      <w:proofErr w:type="spellStart"/>
      <w:r w:rsidRPr="007215D0">
        <w:rPr>
          <w:rFonts w:ascii="Times New Roman" w:hAnsi="Times New Roman"/>
          <w:sz w:val="28"/>
          <w:szCs w:val="28"/>
        </w:rPr>
        <w:t>коворкинг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 зона для общения и неформального досуга молодежи, отдельную комнату заняла медиа-студия, удалось выделить зону для размещения фонда «говорящих книг» для слабовидящей категории пользователей.  Там же расположился Ресурсный центр общественных инициатив, методический кабинет.  Успешно прошла защита концепции модернизации и развития Центральной библиотеки имени Александра </w:t>
      </w:r>
      <w:proofErr w:type="spellStart"/>
      <w:r w:rsidRPr="007215D0">
        <w:rPr>
          <w:rFonts w:ascii="Times New Roman" w:hAnsi="Times New Roman"/>
          <w:sz w:val="28"/>
          <w:szCs w:val="28"/>
        </w:rPr>
        <w:t>Ероховца</w:t>
      </w:r>
      <w:proofErr w:type="spellEnd"/>
      <w:r w:rsidRPr="007215D0">
        <w:rPr>
          <w:rFonts w:ascii="Times New Roman" w:hAnsi="Times New Roman"/>
          <w:sz w:val="28"/>
          <w:szCs w:val="28"/>
        </w:rPr>
        <w:t xml:space="preserve"> и вхождение в проект «Библиотеки будущего». Планируется создать библиотеку - Центр созидательной активности горожан.</w:t>
      </w:r>
      <w:r w:rsidRPr="005326D2">
        <w:rPr>
          <w:sz w:val="28"/>
          <w:szCs w:val="28"/>
        </w:rPr>
        <w:t xml:space="preserve"> </w:t>
      </w:r>
      <w:r w:rsidRPr="005326D2">
        <w:rPr>
          <w:rFonts w:ascii="Times New Roman" w:hAnsi="Times New Roman"/>
          <w:sz w:val="28"/>
          <w:szCs w:val="28"/>
        </w:rPr>
        <w:t xml:space="preserve">На базе Централизованной библиотечной системы были реализованы два крупных </w:t>
      </w:r>
      <w:proofErr w:type="gramStart"/>
      <w:r w:rsidRPr="005326D2">
        <w:rPr>
          <w:rFonts w:ascii="Times New Roman" w:hAnsi="Times New Roman"/>
          <w:sz w:val="28"/>
          <w:szCs w:val="28"/>
        </w:rPr>
        <w:t>проекта:  «</w:t>
      </w:r>
      <w:proofErr w:type="gramEnd"/>
      <w:r w:rsidRPr="005326D2">
        <w:rPr>
          <w:rFonts w:ascii="Times New Roman" w:hAnsi="Times New Roman"/>
          <w:sz w:val="28"/>
          <w:szCs w:val="28"/>
        </w:rPr>
        <w:t>Сквер Добрый», при поддержке Фонда Президентских грантов и проект «Медиа</w:t>
      </w:r>
      <w:proofErr w:type="spellStart"/>
      <w:r w:rsidRPr="005326D2">
        <w:rPr>
          <w:rFonts w:ascii="Times New Roman" w:hAnsi="Times New Roman"/>
          <w:sz w:val="28"/>
          <w:szCs w:val="28"/>
          <w:lang w:val="en-US"/>
        </w:rPr>
        <w:t>BooK</w:t>
      </w:r>
      <w:proofErr w:type="spellEnd"/>
      <w:r w:rsidRPr="005326D2">
        <w:rPr>
          <w:rFonts w:ascii="Times New Roman" w:hAnsi="Times New Roman"/>
          <w:sz w:val="28"/>
          <w:szCs w:val="28"/>
        </w:rPr>
        <w:t xml:space="preserve">», получивший поддержку Фонда Потанина.  </w:t>
      </w:r>
    </w:p>
    <w:p w:rsidR="005E1F9C" w:rsidRPr="007215D0" w:rsidRDefault="005E1F9C" w:rsidP="005E1F9C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215D0">
        <w:rPr>
          <w:rFonts w:ascii="Times New Roman" w:hAnsi="Times New Roman"/>
          <w:sz w:val="28"/>
          <w:szCs w:val="28"/>
        </w:rPr>
        <w:t xml:space="preserve">Переведена в новое здание библиотека-филиал №1.  Долгое время библиотека располагалась в здании, находящимся в предаварийном состоянии, протекала крыша, разрушались стены. Городской администрации от Центральной районной больницы на безвозмездной было передано отдельно стоящее двухэтажное здание в северной части города.  Летом был произведен косметический ремонт, с сентября библиотека работает по новому адресу. </w:t>
      </w:r>
      <w:r w:rsidRPr="00623AFE">
        <w:rPr>
          <w:rFonts w:ascii="Times New Roman" w:hAnsi="Times New Roman"/>
          <w:sz w:val="28"/>
          <w:szCs w:val="28"/>
        </w:rPr>
        <w:t>Число пользователей муниципальных библиотек составило 11398 человека, охват обслуживанием населения общедоступными библиотеками составил 59,3%, количество поступлений новых поступлений на 1000 человек составило 122 экземпляра.</w:t>
      </w:r>
      <w:r w:rsidRPr="00623AFE">
        <w:t xml:space="preserve"> </w:t>
      </w:r>
      <w:r w:rsidRPr="00623AFE">
        <w:rPr>
          <w:rFonts w:ascii="Times New Roman" w:hAnsi="Times New Roman"/>
          <w:sz w:val="28"/>
          <w:szCs w:val="28"/>
        </w:rPr>
        <w:t xml:space="preserve">Централизованная библиотечная система г. Боготола стала победителем конкурса «Самое читающее муниципальное образование» в номинации «Самый читающий городской округ». За счет средств местного бюджета изготовлена ПСД на ремонт фасада библиотеки – </w:t>
      </w:r>
      <w:r w:rsidRPr="00623AFE">
        <w:rPr>
          <w:rFonts w:ascii="Times New Roman" w:hAnsi="Times New Roman"/>
          <w:sz w:val="28"/>
          <w:szCs w:val="28"/>
        </w:rPr>
        <w:lastRenderedPageBreak/>
        <w:t>филиала № 2 (модельной библиотеки) и в 2021 году выполнены работы на сумму 829 тысяч рублей.</w:t>
      </w:r>
    </w:p>
    <w:p w:rsidR="005E1F9C" w:rsidRPr="00043870" w:rsidRDefault="005E1F9C" w:rsidP="005E1F9C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 w:rsidRPr="005326D2">
        <w:rPr>
          <w:rFonts w:ascii="Times New Roman" w:hAnsi="Times New Roman" w:cs="Times New Roman"/>
          <w:sz w:val="28"/>
        </w:rPr>
        <w:t xml:space="preserve">Городской музей в настоящее время представлен четырьмя экспозиционно-выставочными залами, виртуальным концертным залом, фондохранилищем, </w:t>
      </w:r>
      <w:proofErr w:type="spellStart"/>
      <w:r w:rsidRPr="005326D2">
        <w:rPr>
          <w:rFonts w:ascii="Times New Roman" w:hAnsi="Times New Roman" w:cs="Times New Roman"/>
          <w:sz w:val="28"/>
        </w:rPr>
        <w:t>дофондовым</w:t>
      </w:r>
      <w:proofErr w:type="spellEnd"/>
      <w:r w:rsidRPr="005326D2">
        <w:rPr>
          <w:rFonts w:ascii="Times New Roman" w:hAnsi="Times New Roman" w:cs="Times New Roman"/>
          <w:sz w:val="28"/>
        </w:rPr>
        <w:t xml:space="preserve"> помещением, В 2021 году в оперативное управление было отдано здание по ул. Советской (две комнаты, общей площадью 115,6 </w:t>
      </w:r>
      <w:proofErr w:type="spellStart"/>
      <w:r w:rsidRPr="005326D2">
        <w:rPr>
          <w:rFonts w:ascii="Times New Roman" w:hAnsi="Times New Roman" w:cs="Times New Roman"/>
          <w:sz w:val="28"/>
        </w:rPr>
        <w:t>кв</w:t>
      </w:r>
      <w:proofErr w:type="spellEnd"/>
      <w:r w:rsidRPr="005326D2">
        <w:rPr>
          <w:rFonts w:ascii="Times New Roman" w:hAnsi="Times New Roman" w:cs="Times New Roman"/>
          <w:sz w:val="28"/>
        </w:rPr>
        <w:t xml:space="preserve"> м), где будет располагаться Выставочный зал. </w:t>
      </w:r>
      <w:r w:rsidRPr="00623AFE">
        <w:rPr>
          <w:rFonts w:ascii="Times New Roman" w:hAnsi="Times New Roman" w:cs="Times New Roman"/>
          <w:sz w:val="28"/>
        </w:rPr>
        <w:t>За отчетный период музейное собрание увеличилось на 126 единиц и составило по состоянию на 31.12.2021 года 8052 единиц хранения, в том числе 6450 единиц хранения основного фонда и 1602 единиц хранения научно-вспомогательного фонда. Число экспонировавшихся в отчетном году предметов составило 2100 единиц.</w:t>
      </w:r>
      <w:r>
        <w:rPr>
          <w:rFonts w:ascii="Times New Roman" w:hAnsi="Times New Roman" w:cs="Times New Roman"/>
          <w:sz w:val="28"/>
        </w:rPr>
        <w:t xml:space="preserve"> </w:t>
      </w:r>
      <w:r w:rsidRPr="005326D2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5326D2">
        <w:rPr>
          <w:rFonts w:ascii="Times New Roman" w:hAnsi="Times New Roman" w:cs="Times New Roman"/>
          <w:sz w:val="28"/>
        </w:rPr>
        <w:t>2021  году</w:t>
      </w:r>
      <w:proofErr w:type="gramEnd"/>
      <w:r w:rsidRPr="005326D2">
        <w:rPr>
          <w:rFonts w:ascii="Times New Roman" w:hAnsi="Times New Roman" w:cs="Times New Roman"/>
          <w:sz w:val="28"/>
        </w:rPr>
        <w:t xml:space="preserve"> было подготовлено и открыто 19  выставок, из них: в музее - 15, вне музея – 4.  Участниками </w:t>
      </w:r>
      <w:proofErr w:type="spellStart"/>
      <w:r w:rsidRPr="005326D2">
        <w:rPr>
          <w:rFonts w:ascii="Times New Roman" w:hAnsi="Times New Roman" w:cs="Times New Roman"/>
          <w:sz w:val="28"/>
        </w:rPr>
        <w:t>внемузейной</w:t>
      </w:r>
      <w:proofErr w:type="spellEnd"/>
      <w:r w:rsidRPr="005326D2">
        <w:rPr>
          <w:rFonts w:ascii="Times New Roman" w:hAnsi="Times New Roman" w:cs="Times New Roman"/>
          <w:sz w:val="28"/>
        </w:rPr>
        <w:t xml:space="preserve"> выставочной деятельности стали 434 человека. В 2021 году количество обслуженных всеми видами научно-просветительной деятельности музея стало 5</w:t>
      </w:r>
      <w:r>
        <w:rPr>
          <w:rFonts w:ascii="Times New Roman" w:hAnsi="Times New Roman" w:cs="Times New Roman"/>
          <w:sz w:val="28"/>
        </w:rPr>
        <w:t xml:space="preserve"> </w:t>
      </w:r>
      <w:r w:rsidRPr="005326D2">
        <w:rPr>
          <w:rFonts w:ascii="Times New Roman" w:hAnsi="Times New Roman" w:cs="Times New Roman"/>
          <w:sz w:val="28"/>
        </w:rPr>
        <w:t xml:space="preserve">166 человек. Специалистами музея проведено 106 тематических и обзорных экскурсий жителей Боготола и </w:t>
      </w:r>
      <w:proofErr w:type="spellStart"/>
      <w:r w:rsidRPr="005326D2">
        <w:rPr>
          <w:rFonts w:ascii="Times New Roman" w:hAnsi="Times New Roman" w:cs="Times New Roman"/>
          <w:sz w:val="28"/>
        </w:rPr>
        <w:t>Боготольского</w:t>
      </w:r>
      <w:proofErr w:type="spellEnd"/>
      <w:r w:rsidRPr="005326D2">
        <w:rPr>
          <w:rFonts w:ascii="Times New Roman" w:hAnsi="Times New Roman" w:cs="Times New Roman"/>
          <w:sz w:val="28"/>
        </w:rPr>
        <w:t xml:space="preserve"> района самого разного возраста, а также для гостей города из других территорий.   </w:t>
      </w:r>
    </w:p>
    <w:p w:rsidR="005E1F9C" w:rsidRPr="00043870" w:rsidRDefault="005E1F9C" w:rsidP="005E1F9C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326D2">
        <w:rPr>
          <w:rFonts w:ascii="Times New Roman" w:hAnsi="Times New Roman"/>
          <w:sz w:val="28"/>
          <w:szCs w:val="28"/>
        </w:rPr>
        <w:t>В образовательных учреждениях сферы культуры (МБУ ДО ДМШ и МБУ ДО ДШИ) обучается 751 человек, что составляет 32,5 % охвата детского населения.  Более 70% обучающихся приняли участие в творческих мероприятиях. В 2021 году по предпрофессиональным программам занимается 63% учащихся от общего числа обучающихся в двух школах.  За 2021 год школы приняли участие в 35 конкурсах различных уровней</w:t>
      </w:r>
      <w:r>
        <w:rPr>
          <w:rFonts w:ascii="Times New Roman" w:hAnsi="Times New Roman"/>
          <w:sz w:val="28"/>
          <w:szCs w:val="28"/>
        </w:rPr>
        <w:t>.</w:t>
      </w:r>
      <w:r w:rsidRPr="005326D2">
        <w:rPr>
          <w:rFonts w:ascii="Times New Roman" w:hAnsi="Times New Roman"/>
          <w:sz w:val="28"/>
          <w:szCs w:val="28"/>
        </w:rPr>
        <w:t xml:space="preserve"> В школы прибыли 2 молодых специалиста. Количество желающих получать дополнительное образование в сфере культуры растет с каждым годом, родители понимают, что их дети приобретают навыки и специальную подготовку для поступления в ВУЗы, но школы, находящиеся внутри общеобразовательных школ не имеют возможность расширить площади для музыкальных и художественных классов. Поэтому в Боготоле необходимо строительство отдельного здания детской школы искусств.</w:t>
      </w:r>
    </w:p>
    <w:p w:rsidR="005E1F9C" w:rsidRPr="00043870" w:rsidRDefault="005E1F9C" w:rsidP="005E1F9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870">
        <w:rPr>
          <w:rFonts w:ascii="Times New Roman" w:hAnsi="Times New Roman" w:cs="Times New Roman"/>
          <w:sz w:val="28"/>
          <w:szCs w:val="26"/>
        </w:rPr>
        <w:t>На территории города Боготола находится 13 памятников, из которых 4 памятника имеют статус Объекта культурного наследия регионального значения.</w:t>
      </w:r>
      <w:r w:rsidRPr="00043870">
        <w:rPr>
          <w:rFonts w:ascii="Times New Roman" w:hAnsi="Times New Roman" w:cs="Times New Roman"/>
          <w:sz w:val="28"/>
          <w:szCs w:val="28"/>
        </w:rPr>
        <w:t xml:space="preserve">  </w:t>
      </w:r>
      <w:r w:rsidRPr="00374DC9">
        <w:rPr>
          <w:rFonts w:ascii="Times New Roman" w:hAnsi="Times New Roman" w:cs="Times New Roman"/>
          <w:sz w:val="28"/>
          <w:szCs w:val="28"/>
        </w:rPr>
        <w:t xml:space="preserve">В 2021 </w:t>
      </w:r>
      <w:proofErr w:type="gramStart"/>
      <w:r w:rsidRPr="00374DC9">
        <w:rPr>
          <w:rFonts w:ascii="Times New Roman" w:hAnsi="Times New Roman" w:cs="Times New Roman"/>
          <w:sz w:val="28"/>
          <w:szCs w:val="28"/>
        </w:rPr>
        <w:t>году  был</w:t>
      </w:r>
      <w:proofErr w:type="gramEnd"/>
      <w:r w:rsidRPr="00374DC9">
        <w:rPr>
          <w:rFonts w:ascii="Times New Roman" w:hAnsi="Times New Roman" w:cs="Times New Roman"/>
          <w:sz w:val="28"/>
          <w:szCs w:val="28"/>
        </w:rPr>
        <w:t xml:space="preserve"> открыт новый памятник «Детям войны» на площади Победы в рамках проекта «Мы играли в войну, мы выиграли победу» Местной Общественной организации участников боевых действий г. Боготола и </w:t>
      </w:r>
      <w:proofErr w:type="spellStart"/>
      <w:r w:rsidRPr="00374DC9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374DC9">
        <w:rPr>
          <w:rFonts w:ascii="Times New Roman" w:hAnsi="Times New Roman" w:cs="Times New Roman"/>
          <w:sz w:val="28"/>
          <w:szCs w:val="28"/>
        </w:rPr>
        <w:t xml:space="preserve"> района «Гранит».</w:t>
      </w:r>
    </w:p>
    <w:p w:rsidR="005E1F9C" w:rsidRPr="00043870" w:rsidRDefault="005E1F9C" w:rsidP="005E1F9C">
      <w:pPr>
        <w:autoSpaceDE w:val="0"/>
        <w:autoSpaceDN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870">
        <w:rPr>
          <w:rFonts w:ascii="Times New Roman" w:hAnsi="Times New Roman" w:cs="Times New Roman"/>
          <w:sz w:val="28"/>
          <w:szCs w:val="28"/>
        </w:rPr>
        <w:t xml:space="preserve">На территории города функционирует муниципальное бюджетное учреждение «Молодёжный центр города Боготола», при </w:t>
      </w:r>
      <w:proofErr w:type="gramStart"/>
      <w:r w:rsidRPr="00043870">
        <w:rPr>
          <w:rFonts w:ascii="Times New Roman" w:hAnsi="Times New Roman" w:cs="Times New Roman"/>
          <w:sz w:val="28"/>
          <w:szCs w:val="28"/>
        </w:rPr>
        <w:t>котором  созданы</w:t>
      </w:r>
      <w:proofErr w:type="gramEnd"/>
      <w:r w:rsidRPr="00043870">
        <w:rPr>
          <w:rFonts w:ascii="Times New Roman" w:hAnsi="Times New Roman" w:cs="Times New Roman"/>
          <w:sz w:val="28"/>
          <w:szCs w:val="28"/>
        </w:rPr>
        <w:t xml:space="preserve"> и действуют штабы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3870">
        <w:rPr>
          <w:rFonts w:ascii="Times New Roman" w:hAnsi="Times New Roman" w:cs="Times New Roman"/>
          <w:sz w:val="28"/>
          <w:szCs w:val="28"/>
        </w:rPr>
        <w:t xml:space="preserve"> флагманских программ (в Красноярском крае их 12).</w:t>
      </w:r>
    </w:p>
    <w:p w:rsidR="005E1F9C" w:rsidRDefault="005E1F9C" w:rsidP="005E1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За 2021 год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было</w:t>
      </w:r>
      <w:r w:rsidRPr="004505A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ло</w:t>
      </w:r>
      <w:proofErr w:type="spellEnd"/>
      <w:r w:rsidRPr="004505A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проведено более 170 мероприятий и акций, в которых приняло участие более 3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тысяч</w:t>
      </w:r>
      <w:r w:rsidRPr="004505A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молодых людей. </w:t>
      </w:r>
    </w:p>
    <w:p w:rsidR="005E1F9C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В течение года велась совместная реализация проектов с партнерами Молодежного центра, а также реализация проектов в рамках краевого </w:t>
      </w:r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lastRenderedPageBreak/>
        <w:t xml:space="preserve">инфраструктурного проекта «Территория Красноярский край». В рамках </w:t>
      </w:r>
      <w:proofErr w:type="spellStart"/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грантового</w:t>
      </w:r>
      <w:proofErr w:type="spellEnd"/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конкурса молодежных инициатив проекта «Территория Красноярский край» в ходе весенней сессии было поддержано 16 проектов от </w:t>
      </w:r>
      <w:proofErr w:type="spellStart"/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боготольской</w:t>
      </w:r>
      <w:proofErr w:type="spellEnd"/>
      <w:r w:rsidRPr="00DF3BBF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молодежи. Они направлены на благоустройство общественных территорий города (детская площадка по ул. 40 лет Октября, площадка с арт-объектом «Самый добрый город», пешеходная дорожка по ул. Кирова, привокзальная площадь, квартал «Молодежный»), организацию досуга и просветительских мероприятий.</w:t>
      </w:r>
      <w:r w:rsidRPr="00DF3BBF">
        <w:rPr>
          <w:rFonts w:ascii="Times New Roman" w:hAnsi="Times New Roman" w:cs="Times New Roman"/>
          <w:sz w:val="28"/>
          <w:szCs w:val="28"/>
        </w:rPr>
        <w:t xml:space="preserve"> </w:t>
      </w:r>
      <w:r w:rsidRPr="007C3107">
        <w:rPr>
          <w:rFonts w:ascii="Times New Roman" w:hAnsi="Times New Roman" w:cs="Times New Roman"/>
          <w:sz w:val="28"/>
          <w:szCs w:val="28"/>
        </w:rPr>
        <w:t>В летний период было трудоустроено за счет местного бюджета – 83 подростка, за счет краевого бюджета - 64 подростка, 10 рабочих мест также было предоставлено в рамках работы трудового отряда «Юный железнодорожник».</w:t>
      </w:r>
    </w:p>
    <w:p w:rsidR="005E1F9C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15D0">
        <w:rPr>
          <w:rFonts w:ascii="Times New Roman" w:hAnsi="Times New Roman"/>
          <w:sz w:val="28"/>
          <w:szCs w:val="28"/>
        </w:rPr>
        <w:t>Молодежный центр стал опорным учреждением для работы в Боготоле волонтерского корпуса федерального проекта «Волонтеры переписи», волонтерского корпуса в рамках федерального проекта «Комфортная городская среда». С 2020 года на базе МЦ действует муниципальный штаб всероссийской акции взаимопомощи «#</w:t>
      </w:r>
      <w:proofErr w:type="spellStart"/>
      <w:r w:rsidRPr="007215D0">
        <w:rPr>
          <w:rFonts w:ascii="Times New Roman" w:hAnsi="Times New Roman"/>
          <w:sz w:val="28"/>
          <w:szCs w:val="28"/>
        </w:rPr>
        <w:t>МыВместе</w:t>
      </w:r>
      <w:proofErr w:type="spellEnd"/>
      <w:r w:rsidRPr="007215D0">
        <w:rPr>
          <w:rFonts w:ascii="Times New Roman" w:hAnsi="Times New Roman"/>
          <w:sz w:val="28"/>
          <w:szCs w:val="28"/>
        </w:rPr>
        <w:t>».</w:t>
      </w:r>
    </w:p>
    <w:p w:rsidR="005E1F9C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3107">
        <w:rPr>
          <w:rFonts w:ascii="Times New Roman" w:hAnsi="Times New Roman"/>
          <w:sz w:val="28"/>
          <w:szCs w:val="28"/>
        </w:rPr>
        <w:t xml:space="preserve">В период 2021 года проводилась большая работа по развитию добровольчества в городе. Были открыты муниципальный штаб Всероссийского общественного движения «Волонтеры Победы», штаб «серебряных волонтеров», эко-волонтерский отряд «Зеленый патруль». Оказаны меры поддержки по развитию </w:t>
      </w:r>
      <w:proofErr w:type="spellStart"/>
      <w:r w:rsidRPr="007C3107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7C3107">
        <w:rPr>
          <w:rFonts w:ascii="Times New Roman" w:hAnsi="Times New Roman"/>
          <w:sz w:val="28"/>
          <w:szCs w:val="28"/>
        </w:rPr>
        <w:t xml:space="preserve"> трудовых коллективов в учреждениях города Боготола.</w:t>
      </w:r>
      <w:r w:rsidRPr="00DF3BBF">
        <w:rPr>
          <w:sz w:val="28"/>
          <w:szCs w:val="28"/>
        </w:rPr>
        <w:t xml:space="preserve"> </w:t>
      </w:r>
      <w:r w:rsidRPr="007215D0">
        <w:rPr>
          <w:rFonts w:ascii="Times New Roman" w:hAnsi="Times New Roman"/>
          <w:sz w:val="28"/>
          <w:szCs w:val="28"/>
        </w:rPr>
        <w:t xml:space="preserve">В целом, по итогам года, вовлечено 711 участников и 75 волонтёров. Итоговым событием стало награждение победителей Городского конкурса «Волонтёр года – 2021». </w:t>
      </w:r>
    </w:p>
    <w:p w:rsidR="005E1F9C" w:rsidRPr="00DF3BBF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F3BBF">
        <w:rPr>
          <w:rFonts w:ascii="Times New Roman" w:hAnsi="Times New Roman"/>
          <w:color w:val="000000"/>
          <w:sz w:val="28"/>
          <w:szCs w:val="28"/>
        </w:rPr>
        <w:t>По итогам работы за 2021 года в рейтинге муниципальных образований Красноярского края в сфере реализации молодежной политики город Боготол занял 3 место из 61.</w:t>
      </w:r>
    </w:p>
    <w:p w:rsidR="005E1F9C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BB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gramStart"/>
      <w:r w:rsidRPr="00DF3BBF">
        <w:rPr>
          <w:rFonts w:ascii="Times New Roman" w:eastAsia="Times New Roman" w:hAnsi="Times New Roman" w:cs="Times New Roman"/>
          <w:sz w:val="28"/>
          <w:szCs w:val="28"/>
        </w:rPr>
        <w:t>территории  Боготола</w:t>
      </w:r>
      <w:proofErr w:type="gramEnd"/>
      <w:r w:rsidRPr="00DF3BBF">
        <w:rPr>
          <w:rFonts w:ascii="Times New Roman" w:eastAsia="Times New Roman" w:hAnsi="Times New Roman" w:cs="Times New Roman"/>
          <w:sz w:val="28"/>
          <w:szCs w:val="28"/>
        </w:rPr>
        <w:t xml:space="preserve"> расположено 37 спортсооружений, в том числе 17 плоскостных, 7 спортзалов, 1 бассейн, 2 тира и 4 объекта городской инфраструктуры. Единовременная пропускная способность объектов спорта </w:t>
      </w:r>
      <w:proofErr w:type="gramStart"/>
      <w:r w:rsidRPr="00DF3BBF">
        <w:rPr>
          <w:rFonts w:ascii="Times New Roman" w:eastAsia="Times New Roman" w:hAnsi="Times New Roman" w:cs="Times New Roman"/>
          <w:sz w:val="28"/>
          <w:szCs w:val="28"/>
        </w:rPr>
        <w:t>составляет  848</w:t>
      </w:r>
      <w:proofErr w:type="gramEnd"/>
      <w:r w:rsidRPr="00DF3BBF">
        <w:rPr>
          <w:rFonts w:ascii="Times New Roman" w:eastAsia="Times New Roman" w:hAnsi="Times New Roman" w:cs="Times New Roman"/>
          <w:sz w:val="28"/>
          <w:szCs w:val="28"/>
        </w:rPr>
        <w:t xml:space="preserve"> человек. </w:t>
      </w:r>
      <w:r w:rsidRPr="000438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5492">
        <w:rPr>
          <w:rFonts w:ascii="Times New Roman" w:eastAsia="Times New Roman" w:hAnsi="Times New Roman" w:cs="Times New Roman"/>
          <w:sz w:val="28"/>
          <w:szCs w:val="28"/>
        </w:rPr>
        <w:t>В 2021 году из 76 запланированных, по причине пандемии, проведено всего 44 спортивно-массовых мероприятия, в которых участвовало 2,8 тыс. человек (14,6% от общего числа жителей).</w:t>
      </w:r>
    </w:p>
    <w:p w:rsidR="005E1F9C" w:rsidRPr="008B5492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3870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043870">
        <w:rPr>
          <w:rFonts w:ascii="Times New Roman" w:hAnsi="Times New Roman"/>
          <w:sz w:val="28"/>
          <w:szCs w:val="28"/>
        </w:rPr>
        <w:t xml:space="preserve"> году численность воспитанников МБУ «Спортивная </w:t>
      </w:r>
      <w:proofErr w:type="gramStart"/>
      <w:r w:rsidRPr="00043870">
        <w:rPr>
          <w:rFonts w:ascii="Times New Roman" w:hAnsi="Times New Roman"/>
          <w:sz w:val="28"/>
          <w:szCs w:val="28"/>
        </w:rPr>
        <w:t>школа»  составила</w:t>
      </w:r>
      <w:proofErr w:type="gramEnd"/>
      <w:r w:rsidRPr="00043870">
        <w:rPr>
          <w:rFonts w:ascii="Times New Roman" w:hAnsi="Times New Roman"/>
          <w:sz w:val="28"/>
          <w:szCs w:val="28"/>
        </w:rPr>
        <w:t xml:space="preserve"> 291 человек. В спортивной школе работают 5 отделений по следующим видам спорта: баскетбол, рукопашный бой, легкая атлетика, пауэрлифтинг и футбол, Центр по сдаче норм ГТО.</w:t>
      </w:r>
      <w:r w:rsidRPr="00DF3BBF">
        <w:t xml:space="preserve"> </w:t>
      </w:r>
      <w:r w:rsidRPr="00DF3BBF">
        <w:rPr>
          <w:rFonts w:ascii="Times New Roman" w:hAnsi="Times New Roman"/>
          <w:sz w:val="28"/>
          <w:szCs w:val="28"/>
        </w:rPr>
        <w:t xml:space="preserve">В 2021 году открыт спортивный клуб по месту жительства по зимним видам спорта и клуб игровых видов спорта при МБУ «Спортивная школа» </w:t>
      </w:r>
      <w:proofErr w:type="spellStart"/>
      <w:r w:rsidRPr="00DF3BBF">
        <w:rPr>
          <w:rFonts w:ascii="Times New Roman" w:hAnsi="Times New Roman"/>
          <w:sz w:val="28"/>
          <w:szCs w:val="28"/>
        </w:rPr>
        <w:t>г.Боготола</w:t>
      </w:r>
      <w:proofErr w:type="spellEnd"/>
      <w:r w:rsidRPr="00DF3BBF">
        <w:rPr>
          <w:rFonts w:ascii="Times New Roman" w:hAnsi="Times New Roman"/>
          <w:sz w:val="28"/>
          <w:szCs w:val="28"/>
        </w:rPr>
        <w:t>.</w:t>
      </w:r>
      <w:r w:rsidRPr="008B54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5492">
        <w:rPr>
          <w:rFonts w:ascii="Times New Roman" w:hAnsi="Times New Roman"/>
          <w:sz w:val="28"/>
          <w:szCs w:val="28"/>
        </w:rPr>
        <w:t>В первенстве России по мини-футболу среди женских студенческих и любительских команд первой лиги сезона 2020-2021 Зона "Сибирь" представители спортивной школы выступали в командах СФУ (2 чел) - 1место и команде «</w:t>
      </w:r>
      <w:proofErr w:type="gramStart"/>
      <w:r w:rsidRPr="008B5492">
        <w:rPr>
          <w:rFonts w:ascii="Times New Roman" w:hAnsi="Times New Roman"/>
          <w:sz w:val="28"/>
          <w:szCs w:val="28"/>
        </w:rPr>
        <w:t>Рассвет»(</w:t>
      </w:r>
      <w:proofErr w:type="gramEnd"/>
      <w:r w:rsidRPr="008B5492">
        <w:rPr>
          <w:rFonts w:ascii="Times New Roman" w:hAnsi="Times New Roman"/>
          <w:sz w:val="28"/>
          <w:szCs w:val="28"/>
        </w:rPr>
        <w:t>3 чел)-3 место.</w:t>
      </w:r>
    </w:p>
    <w:p w:rsidR="005E1F9C" w:rsidRPr="00043870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3870">
        <w:rPr>
          <w:rFonts w:ascii="Times New Roman" w:hAnsi="Times New Roman"/>
          <w:sz w:val="28"/>
          <w:szCs w:val="28"/>
        </w:rPr>
        <w:t>Уже 1</w:t>
      </w:r>
      <w:r>
        <w:rPr>
          <w:rFonts w:ascii="Times New Roman" w:hAnsi="Times New Roman"/>
          <w:sz w:val="28"/>
          <w:szCs w:val="28"/>
        </w:rPr>
        <w:t>3</w:t>
      </w:r>
      <w:r w:rsidRPr="00043870">
        <w:rPr>
          <w:rFonts w:ascii="Times New Roman" w:hAnsi="Times New Roman"/>
          <w:sz w:val="28"/>
          <w:szCs w:val="28"/>
        </w:rPr>
        <w:t xml:space="preserve"> лет в городе работает </w:t>
      </w:r>
      <w:r w:rsidRPr="00043870">
        <w:rPr>
          <w:rFonts w:ascii="Times New Roman" w:eastAsia="Calibri" w:hAnsi="Times New Roman" w:cs="Times New Roman"/>
          <w:sz w:val="28"/>
          <w:szCs w:val="28"/>
        </w:rPr>
        <w:t>МБУ «Физкультурно-оздоровительный центр «Здрава»</w:t>
      </w:r>
      <w:r w:rsidRPr="00043870">
        <w:rPr>
          <w:rFonts w:ascii="Times New Roman" w:hAnsi="Times New Roman"/>
          <w:sz w:val="28"/>
          <w:szCs w:val="28"/>
        </w:rPr>
        <w:t xml:space="preserve">. Всего в центре занимается 408 человек. На базе данного </w:t>
      </w:r>
      <w:r w:rsidRPr="00043870">
        <w:rPr>
          <w:rFonts w:ascii="Times New Roman" w:hAnsi="Times New Roman"/>
          <w:sz w:val="28"/>
          <w:szCs w:val="28"/>
        </w:rPr>
        <w:lastRenderedPageBreak/>
        <w:t xml:space="preserve">учреждения работают группы рукопашного боя, </w:t>
      </w:r>
      <w:proofErr w:type="spellStart"/>
      <w:r w:rsidRPr="00043870">
        <w:rPr>
          <w:rFonts w:ascii="Times New Roman" w:hAnsi="Times New Roman"/>
          <w:sz w:val="28"/>
          <w:szCs w:val="28"/>
        </w:rPr>
        <w:t>всестилевого</w:t>
      </w:r>
      <w:proofErr w:type="spellEnd"/>
      <w:r w:rsidRPr="00043870">
        <w:rPr>
          <w:rFonts w:ascii="Times New Roman" w:hAnsi="Times New Roman"/>
          <w:sz w:val="28"/>
          <w:szCs w:val="28"/>
        </w:rPr>
        <w:t xml:space="preserve"> каратэ, фитнеса, спортивного танца, группа здоровья,</w:t>
      </w:r>
      <w:r w:rsidRPr="000438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3870">
        <w:rPr>
          <w:rFonts w:ascii="Times New Roman" w:hAnsi="Times New Roman"/>
          <w:sz w:val="28"/>
          <w:szCs w:val="28"/>
        </w:rPr>
        <w:t>спортивный клуб по месту жительства «Витязь», спортивный клуб по месту жительства «Турист».</w:t>
      </w:r>
    </w:p>
    <w:p w:rsidR="005E1F9C" w:rsidRPr="00043870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3870">
        <w:rPr>
          <w:rFonts w:ascii="Times New Roman" w:hAnsi="Times New Roman"/>
          <w:sz w:val="28"/>
          <w:szCs w:val="28"/>
        </w:rPr>
        <w:t xml:space="preserve">На базе всех общеобразовательных школ работают физкультурно-оздоровительные клубы. Общая численность занимающихся составляет 398 человек. В клубах ведутся такие секции как шашки, баскетбол, волейбол, лыжные гонки, настольный теннис, футбол, шахматы, лыжная подготовка и легкая атлетика.  </w:t>
      </w:r>
    </w:p>
    <w:p w:rsidR="005E1F9C" w:rsidRPr="00043870" w:rsidRDefault="005E1F9C" w:rsidP="005E1F9C">
      <w:pPr>
        <w:spacing w:line="240" w:lineRule="auto"/>
        <w:ind w:left="-142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043870">
        <w:rPr>
          <w:rFonts w:ascii="Times New Roman CYR" w:hAnsi="Times New Roman CYR" w:cs="Times New Roman CYR"/>
          <w:sz w:val="28"/>
          <w:szCs w:val="28"/>
        </w:rPr>
        <w:t xml:space="preserve">Внедрение Всероссийского физкультурно-спортивного комплекса «Готов к труду и обороне» положительно сказывается на развитии физической культуры в городе. 144 </w:t>
      </w:r>
      <w:proofErr w:type="gramStart"/>
      <w:r w:rsidRPr="00043870">
        <w:rPr>
          <w:rFonts w:ascii="Times New Roman CYR" w:hAnsi="Times New Roman CYR" w:cs="Times New Roman CYR"/>
          <w:sz w:val="28"/>
          <w:szCs w:val="28"/>
        </w:rPr>
        <w:t>человека  выполнили</w:t>
      </w:r>
      <w:proofErr w:type="gramEnd"/>
      <w:r w:rsidRPr="00043870">
        <w:rPr>
          <w:rFonts w:ascii="Times New Roman CYR" w:hAnsi="Times New Roman CYR" w:cs="Times New Roman CYR"/>
          <w:sz w:val="28"/>
          <w:szCs w:val="28"/>
        </w:rPr>
        <w:t xml:space="preserve"> нормативы на знаки отличия.     Доля населения, систематически занимающегося физической культурой и спортом от общей численности </w:t>
      </w:r>
      <w:proofErr w:type="gramStart"/>
      <w:r w:rsidRPr="00043870">
        <w:rPr>
          <w:rFonts w:ascii="Times New Roman CYR" w:hAnsi="Times New Roman CYR" w:cs="Times New Roman CYR"/>
          <w:sz w:val="28"/>
          <w:szCs w:val="28"/>
        </w:rPr>
        <w:t>населения  в</w:t>
      </w:r>
      <w:proofErr w:type="gramEnd"/>
      <w:r w:rsidRPr="00043870">
        <w:rPr>
          <w:rFonts w:ascii="Times New Roman CYR" w:hAnsi="Times New Roman CYR" w:cs="Times New Roman CYR"/>
          <w:sz w:val="28"/>
          <w:szCs w:val="28"/>
        </w:rPr>
        <w:t xml:space="preserve"> 202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043870">
        <w:rPr>
          <w:rFonts w:ascii="Times New Roman CYR" w:hAnsi="Times New Roman CYR" w:cs="Times New Roman CYR"/>
          <w:sz w:val="28"/>
          <w:szCs w:val="28"/>
        </w:rPr>
        <w:t xml:space="preserve"> году   составила 4</w:t>
      </w:r>
      <w:r>
        <w:rPr>
          <w:rFonts w:ascii="Times New Roman CYR" w:hAnsi="Times New Roman CYR" w:cs="Times New Roman CYR"/>
          <w:sz w:val="28"/>
          <w:szCs w:val="28"/>
        </w:rPr>
        <w:t>4,71%</w:t>
      </w:r>
      <w:r w:rsidRPr="00043870">
        <w:rPr>
          <w:rFonts w:ascii="Times New Roman CYR" w:hAnsi="Times New Roman CYR" w:cs="Times New Roman CYR"/>
          <w:sz w:val="28"/>
          <w:szCs w:val="28"/>
        </w:rPr>
        <w:t xml:space="preserve">.  </w:t>
      </w:r>
    </w:p>
    <w:p w:rsidR="00F915FB" w:rsidRDefault="00F915FB" w:rsidP="003618C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8CD" w:rsidRPr="003618CD" w:rsidRDefault="003618CD" w:rsidP="003618C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8C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618CD" w:rsidRPr="005A3A5C" w:rsidRDefault="003618CD" w:rsidP="003618C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92B17">
        <w:rPr>
          <w:rFonts w:ascii="Times New Roman" w:hAnsi="Times New Roman" w:cs="Times New Roman"/>
          <w:sz w:val="28"/>
          <w:szCs w:val="28"/>
        </w:rPr>
        <w:t>нализ  социально-экономического развития города Боготола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B17">
        <w:rPr>
          <w:rFonts w:ascii="Times New Roman" w:hAnsi="Times New Roman" w:cs="Times New Roman"/>
          <w:sz w:val="28"/>
          <w:szCs w:val="28"/>
        </w:rPr>
        <w:t>явился</w:t>
      </w:r>
      <w:r w:rsidRPr="005A3A5C">
        <w:rPr>
          <w:rFonts w:ascii="Times New Roman" w:hAnsi="Times New Roman" w:cs="Times New Roman"/>
          <w:sz w:val="28"/>
          <w:szCs w:val="28"/>
        </w:rPr>
        <w:t xml:space="preserve"> основой для выделения наиболее сильных и слабых сторон города, а также возможностей и рисков (угроз) дальнейшего развития:</w:t>
      </w:r>
    </w:p>
    <w:p w:rsidR="003618CD" w:rsidRPr="00731B72" w:rsidRDefault="003618CD" w:rsidP="003618CD">
      <w:pPr>
        <w:pStyle w:val="a8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3A5C">
        <w:rPr>
          <w:rFonts w:ascii="Times New Roman" w:hAnsi="Times New Roman" w:cs="Times New Roman"/>
          <w:sz w:val="28"/>
          <w:szCs w:val="28"/>
        </w:rPr>
        <w:t xml:space="preserve">• сильные стороны города – его конкурентные преимущества, естественные и созданные факторы и </w:t>
      </w:r>
      <w:r w:rsidRPr="00731B72">
        <w:rPr>
          <w:rFonts w:ascii="Times New Roman" w:hAnsi="Times New Roman" w:cs="Times New Roman"/>
          <w:sz w:val="28"/>
          <w:szCs w:val="28"/>
        </w:rPr>
        <w:t>превосходства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31B72">
        <w:rPr>
          <w:rFonts w:ascii="Times New Roman" w:hAnsi="Times New Roman" w:cs="Times New Roman"/>
          <w:sz w:val="28"/>
          <w:szCs w:val="28"/>
        </w:rPr>
        <w:t xml:space="preserve">ыгодное географическое положение города,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1B72">
        <w:rPr>
          <w:rFonts w:ascii="Times New Roman" w:hAnsi="Times New Roman" w:cs="Times New Roman"/>
          <w:sz w:val="28"/>
          <w:szCs w:val="28"/>
        </w:rPr>
        <w:t xml:space="preserve">отенциал земельных ресурсов,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31B72">
        <w:rPr>
          <w:rFonts w:ascii="Times New Roman" w:hAnsi="Times New Roman" w:cs="Times New Roman"/>
          <w:sz w:val="28"/>
          <w:szCs w:val="28"/>
        </w:rPr>
        <w:t xml:space="preserve">лагоприятная экологическая обстановка, включающая в себя отсутствие вредных производств,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31B72">
        <w:rPr>
          <w:rFonts w:ascii="Times New Roman" w:hAnsi="Times New Roman" w:cs="Times New Roman"/>
          <w:sz w:val="28"/>
          <w:szCs w:val="28"/>
        </w:rPr>
        <w:t>оложительная динамика численности населения моложе трудоспособного возраста)</w:t>
      </w:r>
    </w:p>
    <w:p w:rsidR="003618CD" w:rsidRPr="00731B72" w:rsidRDefault="003618CD" w:rsidP="003618CD">
      <w:pPr>
        <w:pStyle w:val="a8"/>
        <w:ind w:left="35" w:firstLine="325"/>
        <w:jc w:val="both"/>
        <w:rPr>
          <w:rFonts w:ascii="Times New Roman" w:hAnsi="Times New Roman" w:cs="Times New Roman"/>
          <w:sz w:val="28"/>
          <w:szCs w:val="28"/>
        </w:rPr>
      </w:pPr>
      <w:r w:rsidRPr="00731B72">
        <w:rPr>
          <w:rFonts w:ascii="Times New Roman" w:hAnsi="Times New Roman" w:cs="Times New Roman"/>
          <w:sz w:val="28"/>
          <w:szCs w:val="28"/>
        </w:rPr>
        <w:t>• слабые стороны – отсутствующие или слаборазвитые конкурентные факторы города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1B72">
        <w:rPr>
          <w:rFonts w:ascii="Times New Roman" w:hAnsi="Times New Roman" w:cs="Times New Roman"/>
          <w:sz w:val="28"/>
          <w:szCs w:val="28"/>
        </w:rPr>
        <w:t xml:space="preserve">тсутствие на территории топливно-энергетических и сырьевых ресурсов,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1B72">
        <w:rPr>
          <w:rFonts w:ascii="Times New Roman" w:hAnsi="Times New Roman" w:cs="Times New Roman"/>
          <w:sz w:val="28"/>
          <w:szCs w:val="28"/>
        </w:rPr>
        <w:t xml:space="preserve">тток трудоспособного населения в крупные города, «Старение кадров» - высокая кадровая потребность молодых специалистов в сфере здравоохранения, образования и культуры,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31B72">
        <w:rPr>
          <w:rFonts w:ascii="Times New Roman" w:hAnsi="Times New Roman" w:cs="Times New Roman"/>
          <w:sz w:val="28"/>
          <w:szCs w:val="28"/>
        </w:rPr>
        <w:t xml:space="preserve">ависимость перспективы развития города от деятельности предприятий ж/д транспорта,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31B72">
        <w:rPr>
          <w:rFonts w:ascii="Times New Roman" w:hAnsi="Times New Roman" w:cs="Times New Roman"/>
          <w:sz w:val="28"/>
          <w:szCs w:val="28"/>
        </w:rPr>
        <w:t>изкий уровень городского патриотизма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618CD" w:rsidRPr="00731B72" w:rsidRDefault="003618CD" w:rsidP="003618CD">
      <w:pPr>
        <w:pStyle w:val="a8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31B72">
        <w:rPr>
          <w:rFonts w:ascii="Times New Roman" w:hAnsi="Times New Roman" w:cs="Times New Roman"/>
          <w:sz w:val="28"/>
          <w:szCs w:val="28"/>
        </w:rPr>
        <w:t>• возможности – благоприятные тенденции и внешние потенциалы развития города (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31B72">
        <w:rPr>
          <w:rFonts w:ascii="Times New Roman" w:hAnsi="Times New Roman" w:cs="Times New Roman"/>
          <w:sz w:val="28"/>
          <w:szCs w:val="28"/>
        </w:rPr>
        <w:t xml:space="preserve">ормирование новых «точек роста» городской экономики путем диверсификации (развития традиционных и создание новых видов экономической деятельности), развития предпринимательства и создания благоприятного инвестиционного климата,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1B72">
        <w:rPr>
          <w:rFonts w:ascii="Times New Roman" w:hAnsi="Times New Roman" w:cs="Times New Roman"/>
          <w:sz w:val="28"/>
          <w:szCs w:val="28"/>
        </w:rPr>
        <w:t xml:space="preserve">азвитие партнерских экономических связей с соседними районами по взаимовыгодным направлениям </w:t>
      </w:r>
    </w:p>
    <w:p w:rsidR="003618CD" w:rsidRDefault="003618CD" w:rsidP="003618CD">
      <w:pPr>
        <w:pStyle w:val="a8"/>
        <w:ind w:left="36" w:firstLine="324"/>
        <w:jc w:val="both"/>
        <w:rPr>
          <w:rFonts w:ascii="Times New Roman" w:hAnsi="Times New Roman" w:cs="Times New Roman"/>
          <w:sz w:val="28"/>
          <w:szCs w:val="28"/>
        </w:rPr>
      </w:pPr>
      <w:r w:rsidRPr="00731B72">
        <w:rPr>
          <w:rFonts w:ascii="Times New Roman" w:hAnsi="Times New Roman" w:cs="Times New Roman"/>
          <w:sz w:val="28"/>
          <w:szCs w:val="28"/>
        </w:rPr>
        <w:t>• угрозы – неблагоприятные тенденции и внешние риски для качественного развития города 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31B72">
        <w:rPr>
          <w:rFonts w:ascii="Times New Roman" w:hAnsi="Times New Roman" w:cs="Times New Roman"/>
          <w:sz w:val="28"/>
          <w:szCs w:val="28"/>
        </w:rPr>
        <w:t xml:space="preserve">нижение собственных доходов бюджета, повышение зависимости от дотаций, субсидий и субвенций из краевого бюджета,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31B72">
        <w:rPr>
          <w:rFonts w:ascii="Times New Roman" w:hAnsi="Times New Roman" w:cs="Times New Roman"/>
          <w:sz w:val="28"/>
          <w:szCs w:val="28"/>
        </w:rPr>
        <w:t>ильный отток населения трудоспособного возраста, что негативно влияет на естественный прирост населения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618CD" w:rsidRDefault="003618CD" w:rsidP="000643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3618CD" w:rsidSect="00D21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414" w:rsidRDefault="00171414" w:rsidP="00366AAC">
      <w:pPr>
        <w:spacing w:after="0" w:line="240" w:lineRule="auto"/>
      </w:pPr>
      <w:r>
        <w:separator/>
      </w:r>
    </w:p>
  </w:endnote>
  <w:endnote w:type="continuationSeparator" w:id="0">
    <w:p w:rsidR="00171414" w:rsidRDefault="00171414" w:rsidP="00366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46" w:rsidRDefault="0041434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8370596"/>
      <w:docPartObj>
        <w:docPartGallery w:val="Page Numbers (Bottom of Page)"/>
        <w:docPartUnique/>
      </w:docPartObj>
    </w:sdtPr>
    <w:sdtContent>
      <w:p w:rsidR="00414346" w:rsidRDefault="0041434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4FD">
          <w:rPr>
            <w:noProof/>
          </w:rPr>
          <w:t>24</w:t>
        </w:r>
        <w:r>
          <w:fldChar w:fldCharType="end"/>
        </w:r>
      </w:p>
    </w:sdtContent>
  </w:sdt>
  <w:p w:rsidR="00414346" w:rsidRDefault="0041434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46" w:rsidRDefault="0041434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414" w:rsidRDefault="00171414" w:rsidP="00366AAC">
      <w:pPr>
        <w:spacing w:after="0" w:line="240" w:lineRule="auto"/>
      </w:pPr>
      <w:r>
        <w:separator/>
      </w:r>
    </w:p>
  </w:footnote>
  <w:footnote w:type="continuationSeparator" w:id="0">
    <w:p w:rsidR="00171414" w:rsidRDefault="00171414" w:rsidP="00366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46" w:rsidRDefault="0041434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46" w:rsidRDefault="0041434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46" w:rsidRDefault="0041434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D082B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36825E97"/>
    <w:multiLevelType w:val="singleLevel"/>
    <w:tmpl w:val="66EE58B4"/>
    <w:lvl w:ilvl="0">
      <w:start w:val="1"/>
      <w:numFmt w:val="decimal"/>
      <w:lvlText w:val="%1)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77C500D7"/>
    <w:multiLevelType w:val="hybridMultilevel"/>
    <w:tmpl w:val="705E53DE"/>
    <w:lvl w:ilvl="0" w:tplc="EA56939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11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9B0"/>
    <w:rsid w:val="00005917"/>
    <w:rsid w:val="000069FA"/>
    <w:rsid w:val="000161EA"/>
    <w:rsid w:val="00025F19"/>
    <w:rsid w:val="000270E8"/>
    <w:rsid w:val="0002762A"/>
    <w:rsid w:val="00036FAE"/>
    <w:rsid w:val="00064369"/>
    <w:rsid w:val="000744C9"/>
    <w:rsid w:val="00075377"/>
    <w:rsid w:val="000818A1"/>
    <w:rsid w:val="00091C64"/>
    <w:rsid w:val="000A01DC"/>
    <w:rsid w:val="000B1E01"/>
    <w:rsid w:val="000B41DC"/>
    <w:rsid w:val="000C4C12"/>
    <w:rsid w:val="000D30AA"/>
    <w:rsid w:val="000F3378"/>
    <w:rsid w:val="00104B76"/>
    <w:rsid w:val="0010543E"/>
    <w:rsid w:val="00106F7D"/>
    <w:rsid w:val="001124D6"/>
    <w:rsid w:val="00123F09"/>
    <w:rsid w:val="00127A88"/>
    <w:rsid w:val="00137F89"/>
    <w:rsid w:val="00165F0C"/>
    <w:rsid w:val="00171414"/>
    <w:rsid w:val="00177B5D"/>
    <w:rsid w:val="00180AA5"/>
    <w:rsid w:val="001921A6"/>
    <w:rsid w:val="001935E8"/>
    <w:rsid w:val="00196D87"/>
    <w:rsid w:val="001A3A19"/>
    <w:rsid w:val="001A7260"/>
    <w:rsid w:val="001B79F6"/>
    <w:rsid w:val="001C732F"/>
    <w:rsid w:val="001D41EA"/>
    <w:rsid w:val="001F0427"/>
    <w:rsid w:val="00205FD3"/>
    <w:rsid w:val="00220323"/>
    <w:rsid w:val="00231365"/>
    <w:rsid w:val="002350F2"/>
    <w:rsid w:val="0024226F"/>
    <w:rsid w:val="00252D39"/>
    <w:rsid w:val="0027126F"/>
    <w:rsid w:val="0027382C"/>
    <w:rsid w:val="00285891"/>
    <w:rsid w:val="0028758C"/>
    <w:rsid w:val="002B2CBC"/>
    <w:rsid w:val="002C7E53"/>
    <w:rsid w:val="002F3EA6"/>
    <w:rsid w:val="002F68D4"/>
    <w:rsid w:val="00311139"/>
    <w:rsid w:val="0032047D"/>
    <w:rsid w:val="0033009C"/>
    <w:rsid w:val="003433BE"/>
    <w:rsid w:val="0034409A"/>
    <w:rsid w:val="00347EE5"/>
    <w:rsid w:val="00353309"/>
    <w:rsid w:val="003618CD"/>
    <w:rsid w:val="00365107"/>
    <w:rsid w:val="00366AAC"/>
    <w:rsid w:val="00374F7B"/>
    <w:rsid w:val="0037722D"/>
    <w:rsid w:val="003B5D6B"/>
    <w:rsid w:val="003C54FD"/>
    <w:rsid w:val="003E6AAA"/>
    <w:rsid w:val="003F197F"/>
    <w:rsid w:val="0040049E"/>
    <w:rsid w:val="004011BF"/>
    <w:rsid w:val="00414346"/>
    <w:rsid w:val="00415602"/>
    <w:rsid w:val="00420EB0"/>
    <w:rsid w:val="004234B9"/>
    <w:rsid w:val="00423A07"/>
    <w:rsid w:val="00434A03"/>
    <w:rsid w:val="0044180F"/>
    <w:rsid w:val="00450EAA"/>
    <w:rsid w:val="004535F8"/>
    <w:rsid w:val="00461761"/>
    <w:rsid w:val="004C292F"/>
    <w:rsid w:val="004C3F8F"/>
    <w:rsid w:val="004D1F0B"/>
    <w:rsid w:val="004F7349"/>
    <w:rsid w:val="005038FD"/>
    <w:rsid w:val="00504581"/>
    <w:rsid w:val="00510261"/>
    <w:rsid w:val="0051480C"/>
    <w:rsid w:val="0052012B"/>
    <w:rsid w:val="005225E1"/>
    <w:rsid w:val="00545351"/>
    <w:rsid w:val="005551FC"/>
    <w:rsid w:val="0057736D"/>
    <w:rsid w:val="00590B6E"/>
    <w:rsid w:val="005932CD"/>
    <w:rsid w:val="005A25E3"/>
    <w:rsid w:val="005A3E17"/>
    <w:rsid w:val="005A42B4"/>
    <w:rsid w:val="005B00BE"/>
    <w:rsid w:val="005B0E61"/>
    <w:rsid w:val="005C3636"/>
    <w:rsid w:val="005C4077"/>
    <w:rsid w:val="005D2D90"/>
    <w:rsid w:val="005D6701"/>
    <w:rsid w:val="005D6F83"/>
    <w:rsid w:val="005E1F9C"/>
    <w:rsid w:val="005E5A75"/>
    <w:rsid w:val="005F24F7"/>
    <w:rsid w:val="0061150A"/>
    <w:rsid w:val="006223EB"/>
    <w:rsid w:val="00631A86"/>
    <w:rsid w:val="00645B18"/>
    <w:rsid w:val="006624E7"/>
    <w:rsid w:val="00663D71"/>
    <w:rsid w:val="00665E52"/>
    <w:rsid w:val="00676587"/>
    <w:rsid w:val="00681366"/>
    <w:rsid w:val="00692126"/>
    <w:rsid w:val="006A2434"/>
    <w:rsid w:val="006B64E8"/>
    <w:rsid w:val="006C422A"/>
    <w:rsid w:val="006D797B"/>
    <w:rsid w:val="006E09B8"/>
    <w:rsid w:val="006E7F6B"/>
    <w:rsid w:val="00735E7D"/>
    <w:rsid w:val="00741BCC"/>
    <w:rsid w:val="0075604F"/>
    <w:rsid w:val="00773A64"/>
    <w:rsid w:val="00785CF1"/>
    <w:rsid w:val="00792B92"/>
    <w:rsid w:val="007B5C15"/>
    <w:rsid w:val="007C0A71"/>
    <w:rsid w:val="007D341E"/>
    <w:rsid w:val="007D47D1"/>
    <w:rsid w:val="007D78C8"/>
    <w:rsid w:val="007E3A86"/>
    <w:rsid w:val="007E6FEB"/>
    <w:rsid w:val="007F70C0"/>
    <w:rsid w:val="007F7F44"/>
    <w:rsid w:val="0080092C"/>
    <w:rsid w:val="008010AD"/>
    <w:rsid w:val="00801465"/>
    <w:rsid w:val="00842F84"/>
    <w:rsid w:val="0087045A"/>
    <w:rsid w:val="008813F8"/>
    <w:rsid w:val="008A255B"/>
    <w:rsid w:val="008D00A1"/>
    <w:rsid w:val="008E0AAF"/>
    <w:rsid w:val="008E32A0"/>
    <w:rsid w:val="008F180E"/>
    <w:rsid w:val="008F59B0"/>
    <w:rsid w:val="009106C1"/>
    <w:rsid w:val="0091253D"/>
    <w:rsid w:val="009173DB"/>
    <w:rsid w:val="00943DB9"/>
    <w:rsid w:val="00944983"/>
    <w:rsid w:val="0096453F"/>
    <w:rsid w:val="00966760"/>
    <w:rsid w:val="00980258"/>
    <w:rsid w:val="0098184C"/>
    <w:rsid w:val="009A6474"/>
    <w:rsid w:val="009C4A61"/>
    <w:rsid w:val="009C7DF8"/>
    <w:rsid w:val="009D4DB5"/>
    <w:rsid w:val="009E48E0"/>
    <w:rsid w:val="009F1FAB"/>
    <w:rsid w:val="00A03BA8"/>
    <w:rsid w:val="00A14941"/>
    <w:rsid w:val="00A2077E"/>
    <w:rsid w:val="00A37C24"/>
    <w:rsid w:val="00A5168B"/>
    <w:rsid w:val="00A53BC1"/>
    <w:rsid w:val="00A62671"/>
    <w:rsid w:val="00A66A60"/>
    <w:rsid w:val="00A67345"/>
    <w:rsid w:val="00A75B52"/>
    <w:rsid w:val="00A81434"/>
    <w:rsid w:val="00A845AE"/>
    <w:rsid w:val="00A852A0"/>
    <w:rsid w:val="00A906C9"/>
    <w:rsid w:val="00A96042"/>
    <w:rsid w:val="00AA3023"/>
    <w:rsid w:val="00AC31C9"/>
    <w:rsid w:val="00AD012A"/>
    <w:rsid w:val="00AD230A"/>
    <w:rsid w:val="00AD3B7D"/>
    <w:rsid w:val="00AD6903"/>
    <w:rsid w:val="00AF1268"/>
    <w:rsid w:val="00AF2F90"/>
    <w:rsid w:val="00B10E1B"/>
    <w:rsid w:val="00B122E9"/>
    <w:rsid w:val="00B15A5E"/>
    <w:rsid w:val="00B304F9"/>
    <w:rsid w:val="00B34E55"/>
    <w:rsid w:val="00B37356"/>
    <w:rsid w:val="00B44915"/>
    <w:rsid w:val="00B5141F"/>
    <w:rsid w:val="00B52F7C"/>
    <w:rsid w:val="00B61BB1"/>
    <w:rsid w:val="00B674E2"/>
    <w:rsid w:val="00B81AF8"/>
    <w:rsid w:val="00B8494D"/>
    <w:rsid w:val="00B90F09"/>
    <w:rsid w:val="00B91395"/>
    <w:rsid w:val="00B94A4A"/>
    <w:rsid w:val="00BB3EE2"/>
    <w:rsid w:val="00BC0A0A"/>
    <w:rsid w:val="00BC61FC"/>
    <w:rsid w:val="00C235C1"/>
    <w:rsid w:val="00C30CF6"/>
    <w:rsid w:val="00C70BB9"/>
    <w:rsid w:val="00C716ED"/>
    <w:rsid w:val="00C7217F"/>
    <w:rsid w:val="00C92C69"/>
    <w:rsid w:val="00C93C28"/>
    <w:rsid w:val="00C97FBE"/>
    <w:rsid w:val="00CB477D"/>
    <w:rsid w:val="00CD1AEC"/>
    <w:rsid w:val="00CD7679"/>
    <w:rsid w:val="00CE2E2D"/>
    <w:rsid w:val="00CF11C6"/>
    <w:rsid w:val="00CF44A9"/>
    <w:rsid w:val="00CF7EE2"/>
    <w:rsid w:val="00D147B1"/>
    <w:rsid w:val="00D152DD"/>
    <w:rsid w:val="00D15DFC"/>
    <w:rsid w:val="00D2138D"/>
    <w:rsid w:val="00D23281"/>
    <w:rsid w:val="00D3427A"/>
    <w:rsid w:val="00D427B6"/>
    <w:rsid w:val="00D46645"/>
    <w:rsid w:val="00D507A7"/>
    <w:rsid w:val="00D50978"/>
    <w:rsid w:val="00D60489"/>
    <w:rsid w:val="00D75E73"/>
    <w:rsid w:val="00D80015"/>
    <w:rsid w:val="00D8270C"/>
    <w:rsid w:val="00DB091E"/>
    <w:rsid w:val="00DC7A99"/>
    <w:rsid w:val="00DF5FA6"/>
    <w:rsid w:val="00E078A4"/>
    <w:rsid w:val="00E15B8F"/>
    <w:rsid w:val="00E264F5"/>
    <w:rsid w:val="00E31115"/>
    <w:rsid w:val="00E33DDE"/>
    <w:rsid w:val="00E40C80"/>
    <w:rsid w:val="00E46E2B"/>
    <w:rsid w:val="00E534DC"/>
    <w:rsid w:val="00E66DDF"/>
    <w:rsid w:val="00E92C91"/>
    <w:rsid w:val="00E94937"/>
    <w:rsid w:val="00EA0055"/>
    <w:rsid w:val="00EC136D"/>
    <w:rsid w:val="00EC59F8"/>
    <w:rsid w:val="00EC612F"/>
    <w:rsid w:val="00EC7174"/>
    <w:rsid w:val="00EE7F93"/>
    <w:rsid w:val="00EF590F"/>
    <w:rsid w:val="00F00B02"/>
    <w:rsid w:val="00F150D9"/>
    <w:rsid w:val="00F27491"/>
    <w:rsid w:val="00F27661"/>
    <w:rsid w:val="00F31226"/>
    <w:rsid w:val="00F34D25"/>
    <w:rsid w:val="00F36C34"/>
    <w:rsid w:val="00F554B6"/>
    <w:rsid w:val="00F65333"/>
    <w:rsid w:val="00F85483"/>
    <w:rsid w:val="00F87027"/>
    <w:rsid w:val="00F915FB"/>
    <w:rsid w:val="00F9317D"/>
    <w:rsid w:val="00F938E5"/>
    <w:rsid w:val="00FA4D28"/>
    <w:rsid w:val="00FB4F34"/>
    <w:rsid w:val="00FC0A2D"/>
    <w:rsid w:val="00FC0D6F"/>
    <w:rsid w:val="00FC7132"/>
    <w:rsid w:val="00FD2DBF"/>
    <w:rsid w:val="00FD2F55"/>
    <w:rsid w:val="00FE6243"/>
    <w:rsid w:val="00FF4FE3"/>
    <w:rsid w:val="00F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D232CB-4517-44A6-BBCB-B642C227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D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125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1253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8813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813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No Spacing"/>
    <w:link w:val="a9"/>
    <w:uiPriority w:val="1"/>
    <w:qFormat/>
    <w:rsid w:val="0052012B"/>
    <w:pPr>
      <w:spacing w:after="0" w:line="240" w:lineRule="auto"/>
    </w:pPr>
  </w:style>
  <w:style w:type="paragraph" w:styleId="1">
    <w:name w:val="toc 1"/>
    <w:basedOn w:val="a"/>
    <w:next w:val="a"/>
    <w:autoRedefine/>
    <w:uiPriority w:val="39"/>
    <w:rsid w:val="005D6701"/>
    <w:pPr>
      <w:tabs>
        <w:tab w:val="right" w:leader="dot" w:pos="9345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</w:rPr>
  </w:style>
  <w:style w:type="paragraph" w:styleId="2">
    <w:name w:val="toc 2"/>
    <w:basedOn w:val="a"/>
    <w:next w:val="a"/>
    <w:autoRedefine/>
    <w:uiPriority w:val="39"/>
    <w:rsid w:val="005D6701"/>
    <w:pPr>
      <w:tabs>
        <w:tab w:val="right" w:pos="9345"/>
      </w:tabs>
      <w:spacing w:before="40" w:after="0" w:line="240" w:lineRule="auto"/>
      <w:ind w:left="142"/>
    </w:pPr>
    <w:rPr>
      <w:rFonts w:ascii="Times New Roman" w:eastAsia="Times New Roman" w:hAnsi="Times New Roman" w:cs="Times New Roman"/>
      <w:smallCaps/>
      <w:noProof/>
      <w:sz w:val="28"/>
      <w:szCs w:val="28"/>
    </w:rPr>
  </w:style>
  <w:style w:type="paragraph" w:styleId="3">
    <w:name w:val="toc 3"/>
    <w:basedOn w:val="a"/>
    <w:next w:val="a"/>
    <w:autoRedefine/>
    <w:uiPriority w:val="39"/>
    <w:rsid w:val="005D6701"/>
    <w:pPr>
      <w:tabs>
        <w:tab w:val="right" w:leader="dot" w:pos="9345"/>
      </w:tabs>
      <w:spacing w:after="0" w:line="240" w:lineRule="auto"/>
      <w:ind w:left="480"/>
    </w:pPr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styleId="aa">
    <w:name w:val="Hyperlink"/>
    <w:uiPriority w:val="99"/>
    <w:rsid w:val="005D6701"/>
    <w:rPr>
      <w:color w:val="0000FF"/>
      <w:u w:val="single"/>
    </w:rPr>
  </w:style>
  <w:style w:type="paragraph" w:styleId="ab">
    <w:name w:val="Body Text"/>
    <w:basedOn w:val="a"/>
    <w:link w:val="ac"/>
    <w:rsid w:val="007D341E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7D34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line number"/>
    <w:basedOn w:val="a0"/>
    <w:uiPriority w:val="99"/>
    <w:semiHidden/>
    <w:unhideWhenUsed/>
    <w:rsid w:val="00EF590F"/>
  </w:style>
  <w:style w:type="paragraph" w:styleId="ae">
    <w:name w:val="header"/>
    <w:basedOn w:val="a"/>
    <w:link w:val="af"/>
    <w:uiPriority w:val="99"/>
    <w:unhideWhenUsed/>
    <w:rsid w:val="0036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6AAC"/>
  </w:style>
  <w:style w:type="paragraph" w:styleId="af0">
    <w:name w:val="footer"/>
    <w:basedOn w:val="a"/>
    <w:link w:val="af1"/>
    <w:uiPriority w:val="99"/>
    <w:unhideWhenUsed/>
    <w:rsid w:val="0036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6AAC"/>
  </w:style>
  <w:style w:type="character" w:customStyle="1" w:styleId="a9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8"/>
    <w:uiPriority w:val="1"/>
    <w:locked/>
    <w:rsid w:val="00231365"/>
  </w:style>
  <w:style w:type="paragraph" w:customStyle="1" w:styleId="ConsPlusNormal">
    <w:name w:val="ConsPlusNormal"/>
    <w:link w:val="ConsPlusNormal0"/>
    <w:qFormat/>
    <w:rsid w:val="005148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</w:rPr>
  </w:style>
  <w:style w:type="character" w:customStyle="1" w:styleId="ConsPlusNormal0">
    <w:name w:val="ConsPlusNormal Знак"/>
    <w:link w:val="ConsPlusNormal"/>
    <w:locked/>
    <w:rsid w:val="0051480C"/>
    <w:rPr>
      <w:rFonts w:ascii="Arial" w:eastAsia="Times New Roman" w:hAnsi="Arial" w:cs="Times New Roman"/>
      <w:szCs w:val="20"/>
    </w:rPr>
  </w:style>
  <w:style w:type="paragraph" w:styleId="af2">
    <w:name w:val="Normal (Web)"/>
    <w:aliases w:val="Обычный (Web),Обычный (Web)1,Обычный (Web)11"/>
    <w:basedOn w:val="a"/>
    <w:uiPriority w:val="99"/>
    <w:unhideWhenUsed/>
    <w:rsid w:val="007E3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uiPriority w:val="99"/>
    <w:rsid w:val="00064369"/>
    <w:rPr>
      <w:color w:val="000000"/>
      <w:sz w:val="22"/>
      <w:szCs w:val="22"/>
    </w:rPr>
  </w:style>
  <w:style w:type="paragraph" w:customStyle="1" w:styleId="Default">
    <w:name w:val="Default"/>
    <w:rsid w:val="007C0A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4535F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535F8"/>
  </w:style>
  <w:style w:type="paragraph" w:customStyle="1" w:styleId="20">
    <w:name w:val="Без интервала2"/>
    <w:rsid w:val="00E46E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2.4216347956505437E-2"/>
          <c:w val="0.62888688393117531"/>
          <c:h val="0.856531058617672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родилось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trendline>
            <c:trendlineType val="poly"/>
            <c:order val="2"/>
            <c:dispRSqr val="0"/>
            <c:dispEq val="0"/>
          </c:trendline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205</c:v>
                </c:pt>
                <c:pt idx="1">
                  <c:v>193</c:v>
                </c:pt>
                <c:pt idx="2">
                  <c:v>183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умерло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trendline>
            <c:trendlineType val="linear"/>
            <c:dispRSqr val="0"/>
            <c:dispEq val="0"/>
          </c:trendline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370</c:v>
                </c:pt>
                <c:pt idx="1">
                  <c:v>407</c:v>
                </c:pt>
                <c:pt idx="2">
                  <c:v>445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прибыло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542</c:v>
                </c:pt>
                <c:pt idx="1">
                  <c:v>520</c:v>
                </c:pt>
                <c:pt idx="2">
                  <c:v>585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выбыло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620</c:v>
                </c:pt>
                <c:pt idx="1">
                  <c:v>664</c:v>
                </c:pt>
                <c:pt idx="2">
                  <c:v>741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50077400"/>
        <c:axId val="450077792"/>
      </c:barChart>
      <c:catAx>
        <c:axId val="450077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0077792"/>
        <c:crosses val="autoZero"/>
        <c:auto val="1"/>
        <c:lblAlgn val="ctr"/>
        <c:lblOffset val="100"/>
        <c:noMultiLvlLbl val="0"/>
      </c:catAx>
      <c:valAx>
        <c:axId val="450077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0077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26</Pages>
  <Words>8908</Words>
  <Characters>50777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NovolodskayaLV</dc:creator>
  <cp:keywords/>
  <dc:description/>
  <cp:lastModifiedBy>Buharova EN</cp:lastModifiedBy>
  <cp:revision>12</cp:revision>
  <cp:lastPrinted>2022-04-27T06:13:00Z</cp:lastPrinted>
  <dcterms:created xsi:type="dcterms:W3CDTF">2022-04-12T08:54:00Z</dcterms:created>
  <dcterms:modified xsi:type="dcterms:W3CDTF">2022-04-27T06:14:00Z</dcterms:modified>
</cp:coreProperties>
</file>