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B0" w:rsidRPr="00631B9B" w:rsidRDefault="004F76B0" w:rsidP="004F76B0">
      <w:pPr>
        <w:spacing w:after="0"/>
        <w:jc w:val="center"/>
        <w:outlineLvl w:val="0"/>
        <w:rPr>
          <w:rFonts w:ascii="Times New Roman" w:hAnsi="Times New Roman" w:cs="Times New Roman"/>
          <w:sz w:val="28"/>
        </w:rPr>
      </w:pPr>
      <w:r w:rsidRPr="00631B9B">
        <w:rPr>
          <w:rFonts w:ascii="Times New Roman" w:hAnsi="Times New Roman" w:cs="Times New Roman"/>
          <w:sz w:val="28"/>
        </w:rPr>
        <w:t>РОССИЙСКАЯ ФЕДЕРАЦИЯ</w:t>
      </w:r>
    </w:p>
    <w:p w:rsidR="004F76B0" w:rsidRPr="00631B9B" w:rsidRDefault="004F76B0" w:rsidP="004F76B0">
      <w:pPr>
        <w:spacing w:after="0"/>
        <w:jc w:val="center"/>
        <w:outlineLvl w:val="0"/>
        <w:rPr>
          <w:rFonts w:ascii="Times New Roman" w:hAnsi="Times New Roman" w:cs="Times New Roman"/>
          <w:sz w:val="28"/>
        </w:rPr>
      </w:pPr>
      <w:r w:rsidRPr="00631B9B">
        <w:rPr>
          <w:rFonts w:ascii="Times New Roman" w:hAnsi="Times New Roman" w:cs="Times New Roman"/>
          <w:sz w:val="28"/>
        </w:rPr>
        <w:t>КРАСНОЯРСКИЙ КРАЙ</w:t>
      </w:r>
    </w:p>
    <w:p w:rsidR="004F76B0" w:rsidRPr="00631B9B" w:rsidRDefault="004F76B0" w:rsidP="004F76B0">
      <w:pPr>
        <w:spacing w:after="0"/>
        <w:jc w:val="center"/>
        <w:outlineLvl w:val="0"/>
        <w:rPr>
          <w:rFonts w:ascii="Times New Roman" w:hAnsi="Times New Roman" w:cs="Times New Roman"/>
          <w:sz w:val="28"/>
        </w:rPr>
      </w:pPr>
      <w:r w:rsidRPr="00631B9B">
        <w:rPr>
          <w:rFonts w:ascii="Times New Roman" w:hAnsi="Times New Roman" w:cs="Times New Roman"/>
          <w:sz w:val="28"/>
        </w:rPr>
        <w:t>АДМИНИСТРАЦИЯ ГОРОДА БОГОТОЛА</w:t>
      </w:r>
    </w:p>
    <w:p w:rsidR="004F76B0" w:rsidRPr="00631B9B" w:rsidRDefault="004F76B0" w:rsidP="004F76B0">
      <w:pPr>
        <w:pBdr>
          <w:top w:val="single" w:sz="12" w:space="1" w:color="auto"/>
          <w:bottom w:val="single" w:sz="12" w:space="1" w:color="auto"/>
        </w:pBdr>
        <w:spacing w:after="0"/>
        <w:jc w:val="center"/>
        <w:outlineLvl w:val="0"/>
        <w:rPr>
          <w:rFonts w:ascii="Times New Roman" w:hAnsi="Times New Roman" w:cs="Times New Roman"/>
          <w:b/>
          <w:sz w:val="56"/>
        </w:rPr>
      </w:pPr>
      <w:r w:rsidRPr="00631B9B">
        <w:rPr>
          <w:rFonts w:ascii="Times New Roman" w:hAnsi="Times New Roman" w:cs="Times New Roman"/>
          <w:b/>
          <w:bCs/>
          <w:sz w:val="40"/>
          <w:szCs w:val="40"/>
        </w:rPr>
        <w:t xml:space="preserve">ФИНАНСОВОЕ   </w:t>
      </w:r>
      <w:r w:rsidRPr="00631B9B">
        <w:rPr>
          <w:rFonts w:ascii="Times New Roman" w:hAnsi="Times New Roman" w:cs="Times New Roman"/>
          <w:b/>
          <w:sz w:val="40"/>
          <w:szCs w:val="40"/>
        </w:rPr>
        <w:t>УПРАВЛЕНИЕ</w:t>
      </w:r>
    </w:p>
    <w:p w:rsidR="004F76B0" w:rsidRPr="00631B9B" w:rsidRDefault="004F76B0" w:rsidP="004F76B0">
      <w:pPr>
        <w:spacing w:after="0"/>
        <w:rPr>
          <w:rFonts w:ascii="Times New Roman" w:hAnsi="Times New Roman" w:cs="Times New Roman"/>
        </w:rPr>
      </w:pPr>
    </w:p>
    <w:p w:rsidR="004F76B0" w:rsidRPr="00631B9B" w:rsidRDefault="004F76B0" w:rsidP="004F76B0">
      <w:pPr>
        <w:tabs>
          <w:tab w:val="left" w:pos="5274"/>
        </w:tabs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1B9B">
        <w:rPr>
          <w:rFonts w:ascii="Times New Roman" w:hAnsi="Times New Roman" w:cs="Times New Roman"/>
          <w:sz w:val="28"/>
          <w:szCs w:val="28"/>
        </w:rPr>
        <w:t>ПРИКАЗ</w:t>
      </w:r>
    </w:p>
    <w:p w:rsidR="004F76B0" w:rsidRPr="00631B9B" w:rsidRDefault="004F76B0" w:rsidP="004F76B0">
      <w:pPr>
        <w:tabs>
          <w:tab w:val="left" w:pos="527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76B0" w:rsidRPr="00631B9B" w:rsidRDefault="004F76B0" w:rsidP="004F76B0">
      <w:pPr>
        <w:tabs>
          <w:tab w:val="left" w:pos="527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B9B">
        <w:rPr>
          <w:rFonts w:ascii="Times New Roman" w:hAnsi="Times New Roman" w:cs="Times New Roman"/>
          <w:sz w:val="28"/>
          <w:szCs w:val="28"/>
        </w:rPr>
        <w:t xml:space="preserve">от 31 декабря 2019 г.                                                                   № </w:t>
      </w:r>
      <w:r w:rsidR="006625C3" w:rsidRPr="00631B9B">
        <w:rPr>
          <w:rFonts w:ascii="Times New Roman" w:hAnsi="Times New Roman" w:cs="Times New Roman"/>
          <w:sz w:val="28"/>
          <w:szCs w:val="28"/>
        </w:rPr>
        <w:t>100</w:t>
      </w:r>
    </w:p>
    <w:p w:rsidR="008A3556" w:rsidRPr="00631B9B" w:rsidRDefault="008A3556" w:rsidP="004F7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3556" w:rsidRPr="00631B9B" w:rsidRDefault="008A3556" w:rsidP="004F7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4452" w:rsidRPr="00631B9B" w:rsidRDefault="00F34452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B9B">
        <w:rPr>
          <w:rFonts w:ascii="Times New Roman" w:hAnsi="Times New Roman" w:cs="Times New Roman"/>
          <w:bCs/>
          <w:sz w:val="28"/>
          <w:szCs w:val="28"/>
        </w:rPr>
        <w:t>Об утверждении Порядка проведения мониторинга качества финансового</w:t>
      </w:r>
    </w:p>
    <w:p w:rsidR="00F34452" w:rsidRPr="00631B9B" w:rsidRDefault="00F34452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B9B">
        <w:rPr>
          <w:rFonts w:ascii="Times New Roman" w:hAnsi="Times New Roman" w:cs="Times New Roman"/>
          <w:bCs/>
          <w:sz w:val="28"/>
          <w:szCs w:val="28"/>
        </w:rPr>
        <w:t>менеджмента, осуществляемого главными администраторами средств бюджета</w:t>
      </w:r>
      <w:r w:rsidR="008A3556" w:rsidRPr="00631B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705F" w:rsidRPr="00631B9B">
        <w:rPr>
          <w:rFonts w:ascii="Times New Roman" w:hAnsi="Times New Roman" w:cs="Times New Roman"/>
          <w:bCs/>
          <w:sz w:val="28"/>
          <w:szCs w:val="28"/>
        </w:rPr>
        <w:t>города Боготола</w:t>
      </w:r>
      <w:r w:rsidRPr="00631B9B">
        <w:rPr>
          <w:rFonts w:ascii="Times New Roman" w:hAnsi="Times New Roman" w:cs="Times New Roman"/>
          <w:bCs/>
          <w:sz w:val="28"/>
          <w:szCs w:val="28"/>
        </w:rPr>
        <w:t xml:space="preserve"> (главными распорядителями средств бюджета </w:t>
      </w:r>
      <w:r w:rsidR="0079705F" w:rsidRPr="00631B9B">
        <w:rPr>
          <w:rFonts w:ascii="Times New Roman" w:hAnsi="Times New Roman" w:cs="Times New Roman"/>
          <w:bCs/>
          <w:sz w:val="28"/>
          <w:szCs w:val="28"/>
        </w:rPr>
        <w:t>города Боготола</w:t>
      </w:r>
      <w:r w:rsidRPr="00631B9B">
        <w:rPr>
          <w:rFonts w:ascii="Times New Roman" w:hAnsi="Times New Roman" w:cs="Times New Roman"/>
          <w:bCs/>
          <w:sz w:val="28"/>
          <w:szCs w:val="28"/>
        </w:rPr>
        <w:t xml:space="preserve">, главными администраторами доходов бюджета </w:t>
      </w:r>
      <w:r w:rsidR="0079705F" w:rsidRPr="00631B9B">
        <w:rPr>
          <w:rFonts w:ascii="Times New Roman" w:hAnsi="Times New Roman" w:cs="Times New Roman"/>
          <w:bCs/>
          <w:sz w:val="28"/>
          <w:szCs w:val="28"/>
        </w:rPr>
        <w:t>города Боготола</w:t>
      </w:r>
      <w:r w:rsidRPr="00631B9B">
        <w:rPr>
          <w:rFonts w:ascii="Times New Roman" w:hAnsi="Times New Roman" w:cs="Times New Roman"/>
          <w:bCs/>
          <w:sz w:val="28"/>
          <w:szCs w:val="28"/>
        </w:rPr>
        <w:t>,</w:t>
      </w:r>
      <w:r w:rsidR="008A3556" w:rsidRPr="00631B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hAnsi="Times New Roman" w:cs="Times New Roman"/>
          <w:bCs/>
          <w:sz w:val="28"/>
          <w:szCs w:val="28"/>
        </w:rPr>
        <w:t xml:space="preserve">главными администраторами </w:t>
      </w:r>
      <w:proofErr w:type="gramStart"/>
      <w:r w:rsidRPr="00631B9B">
        <w:rPr>
          <w:rFonts w:ascii="Times New Roman" w:hAnsi="Times New Roman" w:cs="Times New Roman"/>
          <w:bCs/>
          <w:sz w:val="28"/>
          <w:szCs w:val="28"/>
        </w:rPr>
        <w:t>источников финансирования дефицита бюджета</w:t>
      </w:r>
      <w:r w:rsidR="008A3556" w:rsidRPr="00631B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705F" w:rsidRPr="00631B9B">
        <w:rPr>
          <w:rFonts w:ascii="Times New Roman" w:hAnsi="Times New Roman" w:cs="Times New Roman"/>
          <w:bCs/>
          <w:sz w:val="28"/>
          <w:szCs w:val="28"/>
        </w:rPr>
        <w:t>города Боготола</w:t>
      </w:r>
      <w:proofErr w:type="gramEnd"/>
      <w:r w:rsidRPr="00631B9B">
        <w:rPr>
          <w:rFonts w:ascii="Times New Roman" w:hAnsi="Times New Roman" w:cs="Times New Roman"/>
          <w:bCs/>
          <w:sz w:val="28"/>
          <w:szCs w:val="28"/>
        </w:rPr>
        <w:t>)</w:t>
      </w:r>
    </w:p>
    <w:p w:rsidR="008A3556" w:rsidRPr="00631B9B" w:rsidRDefault="008A3556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F34452" w:rsidRPr="00631B9B" w:rsidRDefault="00F34452" w:rsidP="004F76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В соответствии со статьей 160.2-1 Бюджетного кодекса Российской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Федерации, руководствуясь </w:t>
      </w:r>
      <w:hyperlink r:id="rId6" w:history="1">
        <w:r w:rsidR="009A7C23" w:rsidRPr="00631B9B">
          <w:rPr>
            <w:rFonts w:ascii="Times New Roman" w:hAnsi="Times New Roman" w:cs="Times New Roman"/>
            <w:sz w:val="28"/>
            <w:szCs w:val="28"/>
          </w:rPr>
          <w:t>пунктами 3.18,</w:t>
        </w:r>
        <w:r w:rsidR="00631B9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A7C23" w:rsidRPr="00631B9B">
          <w:rPr>
            <w:rFonts w:ascii="Times New Roman" w:hAnsi="Times New Roman" w:cs="Times New Roman"/>
            <w:sz w:val="28"/>
            <w:szCs w:val="28"/>
          </w:rPr>
          <w:t>3.20 раздела 3</w:t>
        </w:r>
      </w:hyperlink>
      <w:r w:rsidR="009A7C23" w:rsidRPr="00631B9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9A7C23" w:rsidRPr="00631B9B">
          <w:rPr>
            <w:rFonts w:ascii="Times New Roman" w:hAnsi="Times New Roman" w:cs="Times New Roman"/>
            <w:sz w:val="28"/>
            <w:szCs w:val="28"/>
          </w:rPr>
          <w:t>пунктом 5.2 раздела 5</w:t>
        </w:r>
      </w:hyperlink>
      <w:r w:rsidR="009A7C23" w:rsidRPr="00631B9B">
        <w:rPr>
          <w:rFonts w:ascii="Times New Roman" w:hAnsi="Times New Roman" w:cs="Times New Roman"/>
          <w:sz w:val="28"/>
          <w:szCs w:val="28"/>
        </w:rPr>
        <w:t xml:space="preserve"> Решения </w:t>
      </w:r>
      <w:proofErr w:type="spellStart"/>
      <w:r w:rsidR="009A7C23" w:rsidRPr="00631B9B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9A7C23" w:rsidRPr="00631B9B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«Об учреждении  Финансового управлении администрации г</w:t>
      </w:r>
      <w:proofErr w:type="gramStart"/>
      <w:r w:rsidR="009A7C23" w:rsidRPr="00631B9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9A7C23" w:rsidRPr="00631B9B">
        <w:rPr>
          <w:rFonts w:ascii="Times New Roman" w:hAnsi="Times New Roman" w:cs="Times New Roman"/>
          <w:sz w:val="28"/>
          <w:szCs w:val="28"/>
        </w:rPr>
        <w:t>оготола» от 17.02.2009 № 16-439 (в ред. от 06.06.2019 № 16-216)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, в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целях повышения качества финансового менеджмента главными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администраторами средств бюджета 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города Боготол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(главными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распорядителями средств бюджета 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, главными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администраторами доходов бюджета 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, главными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администраторами </w:t>
      </w:r>
      <w:proofErr w:type="gramStart"/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источников финансирования дефицита бюджета 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>города</w:t>
      </w:r>
      <w:proofErr w:type="gramEnd"/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631B9B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:rsidR="00F34452" w:rsidRPr="00631B9B" w:rsidRDefault="00F34452" w:rsidP="007970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1. Утвердить Порядок проведения мониторинга качества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финансового менеджмента, осуществляемого главными администраторами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средств бюджета 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 (главными распорядителями средств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бюджета 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, главными администраторами доходов бюджета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города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, главными администраторами </w:t>
      </w:r>
      <w:proofErr w:type="gramStart"/>
      <w:r w:rsidRPr="00631B9B">
        <w:rPr>
          <w:rFonts w:ascii="Times New Roman" w:eastAsia="TimesNewRomanPSMT" w:hAnsi="Times New Roman" w:cs="Times New Roman"/>
          <w:sz w:val="28"/>
          <w:szCs w:val="28"/>
        </w:rPr>
        <w:t>источников финансирования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дефицита бюджета 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>города</w:t>
      </w:r>
      <w:proofErr w:type="gramEnd"/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>согласно приложению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34452" w:rsidRPr="00631B9B" w:rsidRDefault="00F34452" w:rsidP="007970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2. </w:t>
      </w:r>
      <w:r w:rsidR="00B25798" w:rsidRPr="00631B9B"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риказ вступает в силу с 01.01.2020 и </w:t>
      </w:r>
      <w:proofErr w:type="gramStart"/>
      <w:r w:rsidRPr="00631B9B">
        <w:rPr>
          <w:rFonts w:ascii="Times New Roman" w:eastAsia="TimesNewRomanPSMT" w:hAnsi="Times New Roman" w:cs="Times New Roman"/>
          <w:sz w:val="28"/>
          <w:szCs w:val="28"/>
        </w:rPr>
        <w:t>применяется</w:t>
      </w:r>
      <w:proofErr w:type="gramEnd"/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 начиная с</w:t>
      </w:r>
      <w:r w:rsidR="00236C8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проведения мониторинга качества финансового менеджмента за 2019 год.</w:t>
      </w:r>
    </w:p>
    <w:p w:rsidR="00F34452" w:rsidRPr="00631B9B" w:rsidRDefault="00F34452" w:rsidP="0079705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3. </w:t>
      </w:r>
      <w:proofErr w:type="gramStart"/>
      <w:r w:rsidR="00CC5992" w:rsidRPr="00631B9B"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азместить</w:t>
      </w:r>
      <w:proofErr w:type="gramEnd"/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CC5992" w:rsidRPr="00631B9B">
        <w:rPr>
          <w:rFonts w:ascii="Times New Roman" w:hAnsi="Times New Roman" w:cs="Times New Roman"/>
          <w:sz w:val="28"/>
          <w:szCs w:val="28"/>
        </w:rPr>
        <w:t xml:space="preserve">настоящий приказ на официальном сайте администрации города Боготола </w:t>
      </w:r>
      <w:r w:rsidR="00CC5992" w:rsidRPr="00631B9B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CC5992" w:rsidRPr="00631B9B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C5992" w:rsidRPr="00631B9B">
        <w:rPr>
          <w:rFonts w:ascii="Times New Roman" w:hAnsi="Times New Roman" w:cs="Times New Roman"/>
          <w:sz w:val="28"/>
          <w:szCs w:val="28"/>
          <w:u w:val="single"/>
          <w:lang w:val="en-US"/>
        </w:rPr>
        <w:t>bogotolcity</w:t>
      </w:r>
      <w:proofErr w:type="spellEnd"/>
      <w:r w:rsidR="00CC5992" w:rsidRPr="00631B9B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C5992" w:rsidRPr="00631B9B">
        <w:rPr>
          <w:rFonts w:ascii="Times New Roman" w:hAnsi="Times New Roman" w:cs="Times New Roman"/>
          <w:sz w:val="28"/>
          <w:szCs w:val="28"/>
          <w:u w:val="single"/>
          <w:lang w:val="en-US"/>
        </w:rPr>
        <w:t>ry</w:t>
      </w:r>
      <w:proofErr w:type="spellEnd"/>
      <w:r w:rsidR="00CC5992" w:rsidRPr="00631B9B">
        <w:rPr>
          <w:rFonts w:ascii="Times New Roman" w:hAnsi="Times New Roman" w:cs="Times New Roman"/>
          <w:sz w:val="28"/>
          <w:szCs w:val="28"/>
        </w:rPr>
        <w:t xml:space="preserve"> в сети</w:t>
      </w:r>
      <w:r w:rsidR="00631B9B">
        <w:rPr>
          <w:rFonts w:ascii="Times New Roman" w:hAnsi="Times New Roman" w:cs="Times New Roman"/>
          <w:sz w:val="28"/>
          <w:szCs w:val="28"/>
        </w:rPr>
        <w:t xml:space="preserve"> </w:t>
      </w:r>
      <w:r w:rsidR="00631B9B" w:rsidRPr="00631B9B">
        <w:rPr>
          <w:rFonts w:ascii="Times New Roman" w:hAnsi="Times New Roman" w:cs="Times New Roman"/>
          <w:sz w:val="28"/>
          <w:szCs w:val="28"/>
        </w:rPr>
        <w:t>Интернет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34452" w:rsidRPr="00631B9B" w:rsidRDefault="0079705F" w:rsidP="007970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4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proofErr w:type="gramStart"/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Контроль за</w:t>
      </w:r>
      <w:proofErr w:type="gramEnd"/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236C82" w:rsidRPr="00631B9B" w:rsidRDefault="00236C82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6A2589" w:rsidRPr="00631B9B" w:rsidRDefault="006A2589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257153" w:rsidRPr="00631B9B" w:rsidRDefault="00B25798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631B9B">
        <w:rPr>
          <w:rFonts w:ascii="Times New Roman" w:eastAsia="TimesNewRomanPSMT" w:hAnsi="Times New Roman" w:cs="Times New Roman"/>
          <w:sz w:val="28"/>
          <w:szCs w:val="28"/>
        </w:rPr>
        <w:t>Исполняющий</w:t>
      </w:r>
      <w:proofErr w:type="gramEnd"/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 полномочия</w:t>
      </w:r>
    </w:p>
    <w:p w:rsidR="00B25798" w:rsidRPr="00631B9B" w:rsidRDefault="00B25798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Начальника финансового управления</w:t>
      </w:r>
    </w:p>
    <w:p w:rsidR="00257153" w:rsidRPr="00631B9B" w:rsidRDefault="00B25798" w:rsidP="00B25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администрации г</w:t>
      </w:r>
      <w:proofErr w:type="gramStart"/>
      <w:r w:rsidRPr="00631B9B">
        <w:rPr>
          <w:rFonts w:ascii="Times New Roman" w:eastAsia="TimesNewRomanPSMT" w:hAnsi="Times New Roman" w:cs="Times New Roman"/>
          <w:sz w:val="28"/>
          <w:szCs w:val="28"/>
        </w:rPr>
        <w:t>.Б</w:t>
      </w:r>
      <w:proofErr w:type="gramEnd"/>
      <w:r w:rsidRPr="00631B9B">
        <w:rPr>
          <w:rFonts w:ascii="Times New Roman" w:eastAsia="TimesNewRomanPSMT" w:hAnsi="Times New Roman" w:cs="Times New Roman"/>
          <w:sz w:val="28"/>
          <w:szCs w:val="28"/>
        </w:rPr>
        <w:t>оготола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ab/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ab/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ab/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ab/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ab/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ab/>
        <w:t>Т.В. Сысоева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br w:type="page"/>
      </w:r>
    </w:p>
    <w:p w:rsidR="00F34452" w:rsidRPr="00631B9B" w:rsidRDefault="00257153" w:rsidP="0025715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lastRenderedPageBreak/>
        <w:t>Приложение</w:t>
      </w:r>
    </w:p>
    <w:p w:rsidR="00F34452" w:rsidRPr="00631B9B" w:rsidRDefault="00257153" w:rsidP="0025715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к 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приказ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у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финансов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ого управления</w:t>
      </w:r>
    </w:p>
    <w:p w:rsidR="00257153" w:rsidRPr="00631B9B" w:rsidRDefault="00257153" w:rsidP="0025715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администрации г</w:t>
      </w:r>
      <w:proofErr w:type="gramStart"/>
      <w:r w:rsidRPr="00631B9B">
        <w:rPr>
          <w:rFonts w:ascii="Times New Roman" w:eastAsia="TimesNewRomanPSMT" w:hAnsi="Times New Roman" w:cs="Times New Roman"/>
          <w:sz w:val="28"/>
          <w:szCs w:val="28"/>
        </w:rPr>
        <w:t>.Б</w:t>
      </w:r>
      <w:proofErr w:type="gramEnd"/>
      <w:r w:rsidRPr="00631B9B">
        <w:rPr>
          <w:rFonts w:ascii="Times New Roman" w:eastAsia="TimesNewRomanPSMT" w:hAnsi="Times New Roman" w:cs="Times New Roman"/>
          <w:sz w:val="28"/>
          <w:szCs w:val="28"/>
        </w:rPr>
        <w:t>оготола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от </w:t>
      </w:r>
      <w:r w:rsidR="0044760C">
        <w:rPr>
          <w:rFonts w:ascii="Times New Roman" w:eastAsia="TimesNewRomanPSMT" w:hAnsi="Times New Roman" w:cs="Times New Roman"/>
          <w:sz w:val="28"/>
          <w:szCs w:val="28"/>
        </w:rPr>
        <w:t xml:space="preserve">31.12.2019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№</w:t>
      </w:r>
      <w:r w:rsidR="0044760C">
        <w:rPr>
          <w:rFonts w:ascii="Times New Roman" w:eastAsia="TimesNewRomanPSMT" w:hAnsi="Times New Roman" w:cs="Times New Roman"/>
          <w:sz w:val="28"/>
          <w:szCs w:val="28"/>
        </w:rPr>
        <w:t xml:space="preserve"> 100</w:t>
      </w:r>
    </w:p>
    <w:p w:rsidR="00257153" w:rsidRPr="00631B9B" w:rsidRDefault="00257153" w:rsidP="00257153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503BA6" w:rsidRPr="00631B9B" w:rsidRDefault="00F34452" w:rsidP="00257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Порядок проведения мониторинга качества финансового менеджмента,</w:t>
      </w:r>
      <w:r w:rsidR="00257153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осуществляемого главными администраторами средств бюджета 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(главными распорядителями средств бюджета 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,</w:t>
      </w:r>
      <w:r w:rsidR="00257153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главными администраторами доходов бюджета 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,</w:t>
      </w:r>
      <w:r w:rsidR="00257153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главными администраторами источников финансирования дефицита</w:t>
      </w:r>
      <w:r w:rsidR="00257153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бюджета </w:t>
      </w:r>
      <w:proofErr w:type="gramEnd"/>
    </w:p>
    <w:p w:rsidR="00F34452" w:rsidRPr="00631B9B" w:rsidRDefault="00257153" w:rsidP="00257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)</w:t>
      </w:r>
    </w:p>
    <w:p w:rsidR="00257153" w:rsidRPr="00631B9B" w:rsidRDefault="00257153" w:rsidP="002571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5A070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Общие положения</w:t>
      </w:r>
    </w:p>
    <w:p w:rsidR="00257153" w:rsidRPr="00631B9B" w:rsidRDefault="00257153" w:rsidP="000B472C">
      <w:pPr>
        <w:spacing w:after="0"/>
        <w:rPr>
          <w:rFonts w:ascii="Times New Roman" w:eastAsia="TimesNewRomanPSMT" w:hAnsi="Times New Roman" w:cs="Times New Roman"/>
          <w:sz w:val="28"/>
          <w:szCs w:val="28"/>
        </w:rPr>
      </w:pP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1. </w:t>
      </w:r>
      <w:proofErr w:type="gramStart"/>
      <w:r w:rsidRPr="00631B9B">
        <w:rPr>
          <w:rFonts w:ascii="Times New Roman" w:eastAsia="TimesNewRomanPSMT" w:hAnsi="Times New Roman" w:cs="Times New Roman"/>
          <w:sz w:val="28"/>
          <w:szCs w:val="28"/>
        </w:rPr>
        <w:t>Настоящий Порядок определяет правила расчета и анализа значений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показателей качества финансового менеджмента, осуществляемого главными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администраторами средств бюджета </w:t>
      </w:r>
      <w:r w:rsidR="0079705F" w:rsidRPr="00631B9B">
        <w:rPr>
          <w:rFonts w:ascii="Times New Roman" w:eastAsia="TimesNewRomanPSMT" w:hAnsi="Times New Roman" w:cs="Times New Roman"/>
          <w:sz w:val="28"/>
          <w:szCs w:val="28"/>
        </w:rPr>
        <w:t xml:space="preserve">города Боготол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(главными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распорядителями средств бюджета </w:t>
      </w:r>
      <w:r w:rsidR="0079705F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, главными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администраторами доходов бюджета </w:t>
      </w:r>
      <w:r w:rsidR="0079705F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, главными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администраторами источников финансирования дефицита бюджета </w:t>
      </w:r>
      <w:r w:rsidR="0079705F" w:rsidRPr="00631B9B">
        <w:rPr>
          <w:rFonts w:ascii="Times New Roman" w:eastAsia="TimesNewRomanPSMT" w:hAnsi="Times New Roman" w:cs="Times New Roman"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) (далее - ГАБС), формирование и представление информации,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необходимой для проведения мониторинга качества финансового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менеджмента, осуществляемого ГАБС (далее - Мониторинг), правила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формирования и представления</w:t>
      </w:r>
      <w:proofErr w:type="gramEnd"/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 отчета о результатах Мониторинга.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2. Мониторинг проводится </w:t>
      </w:r>
      <w:r w:rsidR="0079705F" w:rsidRPr="00631B9B">
        <w:rPr>
          <w:rFonts w:ascii="Times New Roman" w:eastAsia="TimesNewRomanPSMT" w:hAnsi="Times New Roman" w:cs="Times New Roman"/>
          <w:sz w:val="28"/>
          <w:szCs w:val="28"/>
        </w:rPr>
        <w:t>Ф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инансов</w:t>
      </w:r>
      <w:r w:rsidR="0079705F" w:rsidRPr="00631B9B">
        <w:rPr>
          <w:rFonts w:ascii="Times New Roman" w:eastAsia="TimesNewRomanPSMT" w:hAnsi="Times New Roman" w:cs="Times New Roman"/>
          <w:sz w:val="28"/>
          <w:szCs w:val="28"/>
        </w:rPr>
        <w:t>ым управлением администрации г</w:t>
      </w:r>
      <w:proofErr w:type="gramStart"/>
      <w:r w:rsidR="0079705F" w:rsidRPr="00631B9B">
        <w:rPr>
          <w:rFonts w:ascii="Times New Roman" w:eastAsia="TimesNewRomanPSMT" w:hAnsi="Times New Roman" w:cs="Times New Roman"/>
          <w:sz w:val="28"/>
          <w:szCs w:val="28"/>
        </w:rPr>
        <w:t>.Б</w:t>
      </w:r>
      <w:proofErr w:type="gramEnd"/>
      <w:r w:rsidR="0079705F" w:rsidRPr="00631B9B">
        <w:rPr>
          <w:rFonts w:ascii="Times New Roman" w:eastAsia="TimesNewRomanPSMT" w:hAnsi="Times New Roman" w:cs="Times New Roman"/>
          <w:sz w:val="28"/>
          <w:szCs w:val="28"/>
        </w:rPr>
        <w:t>оготола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79705F" w:rsidRPr="00631B9B">
        <w:rPr>
          <w:rFonts w:ascii="Times New Roman" w:eastAsia="TimesNewRomanPSMT" w:hAnsi="Times New Roman" w:cs="Times New Roman"/>
          <w:sz w:val="28"/>
          <w:szCs w:val="28"/>
        </w:rPr>
        <w:t xml:space="preserve">(далее – финансовое управление)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путем анализа и оценки качества исполнения ГАБС бюджетных полномочий,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установленных бюджетным законодательством Российской Федерации,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управления активами, осуществления закупок товаров, работ и услуг для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обеспечения </w:t>
      </w:r>
      <w:r w:rsidR="00BE63DC" w:rsidRPr="00631B9B">
        <w:rPr>
          <w:rFonts w:ascii="Times New Roman" w:eastAsia="TimesNewRomanPSMT" w:hAnsi="Times New Roman" w:cs="Times New Roman"/>
          <w:sz w:val="28"/>
          <w:szCs w:val="28"/>
        </w:rPr>
        <w:t>муниципаль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ных нужд, а также оценки уровня открытости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бюджетных данных.</w:t>
      </w:r>
    </w:p>
    <w:p w:rsidR="00F34452" w:rsidRPr="00631B9B" w:rsidRDefault="00EA2B8B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3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. Мониторинг проводится ежегодно по состоянию на 1 января года,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 xml:space="preserve">следующего за </w:t>
      </w:r>
      <w:proofErr w:type="gramStart"/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отчетным</w:t>
      </w:r>
      <w:proofErr w:type="gramEnd"/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257153" w:rsidRPr="00631B9B" w:rsidRDefault="00257153" w:rsidP="008A35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5A070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Правила расчета и анализа значений показателей</w:t>
      </w:r>
      <w:r w:rsidR="00257153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5A0703" w:rsidRPr="00631B9B">
        <w:rPr>
          <w:rFonts w:ascii="Times New Roman" w:eastAsia="TimesNewRomanPSMT" w:hAnsi="Times New Roman" w:cs="Times New Roman"/>
          <w:bCs/>
          <w:sz w:val="28"/>
          <w:szCs w:val="28"/>
        </w:rPr>
        <w:br/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качества финансового менеджмента</w:t>
      </w:r>
    </w:p>
    <w:p w:rsidR="00257153" w:rsidRPr="00631B9B" w:rsidRDefault="00257153" w:rsidP="00257153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EA2B8B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4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. В целях проведения Мониторинга ГАБС подразделяются на группы в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зависимости от объема кассовых расходов за отчетный финансовый год,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произведенных ГАБС в соответствии с утвержденными бюджетными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ассигнованиями (далее - Группы):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I Группа - ГАБС с объемом кассовых расходов за отчетный финансовый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год - менее 10 млн. рублей;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II Группа - ГАБС с объемом кассовых расходов за отчетный финансовый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год - </w:t>
      </w:r>
      <w:r w:rsidR="006625C3" w:rsidRPr="00631B9B">
        <w:rPr>
          <w:rFonts w:ascii="Times New Roman" w:eastAsia="TimesNewRomanPSMT" w:hAnsi="Times New Roman" w:cs="Times New Roman"/>
          <w:sz w:val="28"/>
          <w:szCs w:val="28"/>
        </w:rPr>
        <w:t>более 10 млн. рублей.</w:t>
      </w:r>
    </w:p>
    <w:p w:rsidR="00F34452" w:rsidRPr="00631B9B" w:rsidRDefault="00EA2B8B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lastRenderedPageBreak/>
        <w:t>5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. Процедура проведения Мониторинга по каждой Группе включает в себя: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- расчет значений показателей качества финансового менеджмента в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разрезе ГАБС;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- определение оценки качества финансового менеджмента по каждому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показателю в разрезе ГАБС;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- определение итоговой оценки качества финансового менеджмента в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разрезе ГАБС;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- расчет среднего уровня качества финансового менеджмента,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осуществляемого ГАБС;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- расчет отклонений итоговых оценок качества ГАБС от среднего уровня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качества финансового менеджмента;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- формирование рейтинга ГАБС по уровню итоговой оценки качества</w:t>
      </w:r>
    </w:p>
    <w:p w:rsidR="00F34452" w:rsidRPr="00631B9B" w:rsidRDefault="00F34452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финансового менеджмента, осуществляемого ГАБС.</w:t>
      </w:r>
    </w:p>
    <w:p w:rsidR="00F34452" w:rsidRPr="00631B9B" w:rsidRDefault="00EA2B8B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6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. Мониторинг осуществляется по показателям качества финансового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менеджмента согласно приложению № 1 к настоящему Порядку.</w:t>
      </w:r>
    </w:p>
    <w:p w:rsidR="00F34452" w:rsidRPr="00631B9B" w:rsidRDefault="00F34452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631B9B">
        <w:rPr>
          <w:rFonts w:ascii="Times New Roman" w:eastAsia="TimesNewRomanPSMT" w:hAnsi="Times New Roman" w:cs="Times New Roman"/>
          <w:sz w:val="28"/>
          <w:szCs w:val="28"/>
        </w:rPr>
        <w:t>В случае если для конкретного ГАБС показатель (группа показателей)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качества финансового менеджмента не рассчитывается, удельный вес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указанного показателя (группы показателей) качества финансового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менеджмента ГАБС пропорционально распределяется по остальным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показателям группы (группам показателей) качества финансового менеджмента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ГАБС.</w:t>
      </w:r>
      <w:proofErr w:type="gramEnd"/>
    </w:p>
    <w:p w:rsidR="00F34452" w:rsidRPr="00631B9B" w:rsidRDefault="00EA2B8B" w:rsidP="002571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7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. Итоговая оценка качества финансового менеджмента по каждому ГАБС</w:t>
      </w:r>
      <w:r w:rsidR="00257153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sz w:val="28"/>
          <w:szCs w:val="28"/>
        </w:rPr>
        <w:t>рассчитывается по формуле:</w:t>
      </w:r>
    </w:p>
    <w:p w:rsidR="006571D5" w:rsidRDefault="006571D5" w:rsidP="006571D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NewRomanPSMT" w:hAnsi="Times New Roman" w:cs="Times New Roman"/>
          <w:sz w:val="28"/>
          <w:szCs w:val="28"/>
          <w:lang w:val="en-US"/>
        </w:rPr>
      </w:pPr>
      <w:r>
        <w:rPr>
          <w:rFonts w:ascii="Times New Roman" w:eastAsia="TimesNewRomanPSMT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15145" cy="497739"/>
            <wp:effectExtent l="19050" t="0" r="0" b="0"/>
            <wp:docPr id="1" name="Рисунок 1" descr="D:\Загрузки\g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\get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097" cy="50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452" w:rsidRPr="00631B9B" w:rsidRDefault="00F34452" w:rsidP="005935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где:</w:t>
      </w:r>
    </w:p>
    <w:p w:rsidR="00F34452" w:rsidRPr="00631B9B" w:rsidRDefault="00F34452" w:rsidP="005935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Е - итоговая оценка качества финансового менеджмента по каждому</w:t>
      </w:r>
      <w:r w:rsidR="00593500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ГАБС;</w:t>
      </w:r>
    </w:p>
    <w:p w:rsidR="00F34452" w:rsidRPr="00631B9B" w:rsidRDefault="00F34452" w:rsidP="005935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631B9B">
        <w:rPr>
          <w:rFonts w:ascii="Times New Roman" w:eastAsia="TimesNewRomanPSMT" w:hAnsi="Times New Roman" w:cs="Times New Roman"/>
          <w:sz w:val="28"/>
          <w:szCs w:val="28"/>
        </w:rPr>
        <w:t>S</w:t>
      </w:r>
      <w:r w:rsidRPr="00631B9B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i</w:t>
      </w:r>
      <w:proofErr w:type="spellEnd"/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 - удельный вес i-ой группы показателей качества финансового</w:t>
      </w:r>
      <w:r w:rsidR="00593500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менеджмента;</w:t>
      </w:r>
    </w:p>
    <w:p w:rsidR="00F34452" w:rsidRPr="00631B9B" w:rsidRDefault="00F34452" w:rsidP="005935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 w:rsidRPr="00631B9B">
        <w:rPr>
          <w:rFonts w:ascii="Times New Roman" w:eastAsia="TimesNewRomanPSMT" w:hAnsi="Times New Roman" w:cs="Times New Roman"/>
          <w:sz w:val="28"/>
          <w:szCs w:val="28"/>
        </w:rPr>
        <w:t>S</w:t>
      </w:r>
      <w:r w:rsidRPr="00631B9B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ij</w:t>
      </w:r>
      <w:proofErr w:type="spellEnd"/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 - удельный вес j-го показателя качества финансового менеджмента в </w:t>
      </w:r>
      <w:proofErr w:type="spellStart"/>
      <w:r w:rsidRPr="00631B9B">
        <w:rPr>
          <w:rFonts w:ascii="Times New Roman" w:eastAsia="TimesNewRomanPSMT" w:hAnsi="Times New Roman" w:cs="Times New Roman"/>
          <w:sz w:val="28"/>
          <w:szCs w:val="28"/>
        </w:rPr>
        <w:t>i-й</w:t>
      </w:r>
      <w:proofErr w:type="spellEnd"/>
      <w:r w:rsidR="00593500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группе показателей качества финансового менеджмента;</w:t>
      </w:r>
    </w:p>
    <w:p w:rsidR="00F34452" w:rsidRPr="00631B9B" w:rsidRDefault="00F34452" w:rsidP="005935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631B9B">
        <w:rPr>
          <w:rFonts w:ascii="Times New Roman" w:eastAsia="TimesNewRomanPSMT" w:hAnsi="Times New Roman" w:cs="Times New Roman"/>
          <w:sz w:val="28"/>
          <w:szCs w:val="28"/>
        </w:rPr>
        <w:t>Е(</w:t>
      </w:r>
      <w:proofErr w:type="spellStart"/>
      <w:proofErr w:type="gramEnd"/>
      <w:r w:rsidRPr="00631B9B"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631B9B">
        <w:rPr>
          <w:rFonts w:ascii="Times New Roman" w:eastAsia="TimesNewRomanPSMT" w:hAnsi="Times New Roman" w:cs="Times New Roman"/>
          <w:sz w:val="28"/>
          <w:szCs w:val="28"/>
          <w:vertAlign w:val="subscript"/>
        </w:rPr>
        <w:t>ij</w:t>
      </w:r>
      <w:proofErr w:type="spellEnd"/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) - оценка по </w:t>
      </w:r>
      <w:proofErr w:type="spellStart"/>
      <w:r w:rsidRPr="00631B9B">
        <w:rPr>
          <w:rFonts w:ascii="Times New Roman" w:eastAsia="TimesNewRomanPSMT" w:hAnsi="Times New Roman" w:cs="Times New Roman"/>
          <w:sz w:val="28"/>
          <w:szCs w:val="28"/>
        </w:rPr>
        <w:t>j-му</w:t>
      </w:r>
      <w:proofErr w:type="spellEnd"/>
      <w:r w:rsidRPr="00631B9B">
        <w:rPr>
          <w:rFonts w:ascii="Times New Roman" w:eastAsia="TimesNewRomanPSMT" w:hAnsi="Times New Roman" w:cs="Times New Roman"/>
          <w:sz w:val="28"/>
          <w:szCs w:val="28"/>
        </w:rPr>
        <w:t xml:space="preserve"> показателю качества финансового менеджмента в </w:t>
      </w:r>
      <w:proofErr w:type="spellStart"/>
      <w:r w:rsidRPr="00631B9B">
        <w:rPr>
          <w:rFonts w:ascii="Times New Roman" w:eastAsia="TimesNewRomanPSMT" w:hAnsi="Times New Roman" w:cs="Times New Roman"/>
          <w:sz w:val="28"/>
          <w:szCs w:val="28"/>
        </w:rPr>
        <w:t>i-й</w:t>
      </w:r>
      <w:proofErr w:type="spellEnd"/>
      <w:r w:rsidR="00593500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группе показателей качества финансового менеджмента.</w:t>
      </w:r>
    </w:p>
    <w:p w:rsidR="00F34452" w:rsidRPr="00631B9B" w:rsidRDefault="00F34452" w:rsidP="005935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На основании итоговых оценок формируется рейтинг ГАБС по каждой</w:t>
      </w:r>
      <w:r w:rsidR="00593500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Группе в зависимости от достигнутого уровня качества финансового</w:t>
      </w:r>
      <w:r w:rsidR="00593500" w:rsidRPr="00631B9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sz w:val="28"/>
          <w:szCs w:val="28"/>
        </w:rPr>
        <w:t>менеджмента по форме таблицы 1.</w:t>
      </w:r>
    </w:p>
    <w:p w:rsidR="00F34452" w:rsidRDefault="00F34452" w:rsidP="005935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sz w:val="28"/>
          <w:szCs w:val="28"/>
        </w:rPr>
        <w:t>таблица 1</w:t>
      </w:r>
    </w:p>
    <w:p w:rsidR="0093006F" w:rsidRPr="0093006F" w:rsidRDefault="0093006F" w:rsidP="0093006F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93006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Рейтинг ГАБС по уровню итоговой оценки качества финансового менеджмента</w:t>
      </w:r>
    </w:p>
    <w:p w:rsidR="0093006F" w:rsidRPr="00631B9B" w:rsidRDefault="0093006F" w:rsidP="009300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594"/>
        <w:gridCol w:w="2208"/>
        <w:gridCol w:w="1709"/>
        <w:gridCol w:w="2118"/>
        <w:gridCol w:w="2942"/>
      </w:tblGrid>
      <w:tr w:rsidR="00593500" w:rsidRPr="00631B9B" w:rsidTr="007235A6">
        <w:tc>
          <w:tcPr>
            <w:tcW w:w="594" w:type="dxa"/>
          </w:tcPr>
          <w:p w:rsidR="00593500" w:rsidRPr="00631B9B" w:rsidRDefault="00593500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/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08" w:type="dxa"/>
          </w:tcPr>
          <w:p w:rsidR="00593500" w:rsidRPr="00631B9B" w:rsidRDefault="00593500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1709" w:type="dxa"/>
          </w:tcPr>
          <w:p w:rsidR="00593500" w:rsidRPr="00631B9B" w:rsidRDefault="00593500" w:rsidP="007235A6">
            <w:pPr>
              <w:autoSpaceDE w:val="0"/>
              <w:autoSpaceDN w:val="0"/>
              <w:adjustRightInd w:val="0"/>
              <w:ind w:left="-108" w:right="-10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Рейтинговая оценка </w:t>
            </w: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качества ГАБС (</w:t>
            </w: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  <w:lang w:val="en-US"/>
              </w:rPr>
              <w:t>R</w:t>
            </w: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18" w:type="dxa"/>
          </w:tcPr>
          <w:p w:rsidR="00593500" w:rsidRPr="00631B9B" w:rsidRDefault="00593500" w:rsidP="007235A6">
            <w:pPr>
              <w:autoSpaceDE w:val="0"/>
              <w:autoSpaceDN w:val="0"/>
              <w:adjustRightInd w:val="0"/>
              <w:ind w:left="-116" w:right="-108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 xml:space="preserve">Итоговая оценка качества </w:t>
            </w: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финансового менеджмента ГАБС (Е), %</w:t>
            </w:r>
          </w:p>
        </w:tc>
        <w:tc>
          <w:tcPr>
            <w:tcW w:w="2942" w:type="dxa"/>
          </w:tcPr>
          <w:p w:rsidR="00593500" w:rsidRPr="00631B9B" w:rsidRDefault="00593500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 xml:space="preserve">Отклонение итоговой оценки качества </w:t>
            </w: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 xml:space="preserve">финансового </w:t>
            </w:r>
            <w:r w:rsidR="00E95AC2"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менеджмента ГАБС (дельта), %</w:t>
            </w:r>
          </w:p>
        </w:tc>
      </w:tr>
      <w:tr w:rsidR="00593500" w:rsidRPr="00631B9B" w:rsidTr="007235A6">
        <w:tc>
          <w:tcPr>
            <w:tcW w:w="594" w:type="dxa"/>
          </w:tcPr>
          <w:p w:rsidR="00593500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208" w:type="dxa"/>
          </w:tcPr>
          <w:p w:rsidR="00593500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9" w:type="dxa"/>
          </w:tcPr>
          <w:p w:rsidR="00593500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8" w:type="dxa"/>
          </w:tcPr>
          <w:p w:rsidR="00593500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2" w:type="dxa"/>
          </w:tcPr>
          <w:p w:rsidR="00593500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5</w:t>
            </w:r>
          </w:p>
        </w:tc>
      </w:tr>
      <w:tr w:rsidR="00E95AC2" w:rsidRPr="00631B9B" w:rsidTr="007235A6">
        <w:tc>
          <w:tcPr>
            <w:tcW w:w="594" w:type="dxa"/>
          </w:tcPr>
          <w:p w:rsidR="00E95AC2" w:rsidRPr="00631B9B" w:rsidRDefault="00E95AC2" w:rsidP="007235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  <w:tr w:rsidR="00E95AC2" w:rsidRPr="00631B9B" w:rsidTr="007235A6">
        <w:tc>
          <w:tcPr>
            <w:tcW w:w="594" w:type="dxa"/>
          </w:tcPr>
          <w:p w:rsidR="00E95AC2" w:rsidRPr="00631B9B" w:rsidRDefault="00E95AC2" w:rsidP="007235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  <w:tr w:rsidR="00E95AC2" w:rsidRPr="00631B9B" w:rsidTr="007235A6">
        <w:tc>
          <w:tcPr>
            <w:tcW w:w="594" w:type="dxa"/>
          </w:tcPr>
          <w:p w:rsidR="00E95AC2" w:rsidRPr="00631B9B" w:rsidRDefault="00E95AC2" w:rsidP="007235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  <w:tr w:rsidR="00E95AC2" w:rsidRPr="00631B9B" w:rsidTr="007235A6">
        <w:tc>
          <w:tcPr>
            <w:tcW w:w="594" w:type="dxa"/>
          </w:tcPr>
          <w:p w:rsidR="00E95AC2" w:rsidRPr="00631B9B" w:rsidRDefault="00E95AC2" w:rsidP="007235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  <w:tr w:rsidR="00E95AC2" w:rsidRPr="00631B9B" w:rsidTr="007235A6">
        <w:tc>
          <w:tcPr>
            <w:tcW w:w="594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20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11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  <w:tr w:rsidR="00E95AC2" w:rsidRPr="00631B9B" w:rsidTr="007235A6">
        <w:tc>
          <w:tcPr>
            <w:tcW w:w="2802" w:type="dxa"/>
            <w:gridSpan w:val="2"/>
          </w:tcPr>
          <w:p w:rsidR="00E95AC2" w:rsidRPr="00631B9B" w:rsidRDefault="00E95AC2" w:rsidP="007235A6">
            <w:pPr>
              <w:autoSpaceDE w:val="0"/>
              <w:autoSpaceDN w:val="0"/>
              <w:adjustRightInd w:val="0"/>
              <w:ind w:right="-108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Средний уровень качества финансового менеджмента (Е), %</w:t>
            </w:r>
          </w:p>
        </w:tc>
        <w:tc>
          <w:tcPr>
            <w:tcW w:w="1709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118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E95AC2" w:rsidRPr="00631B9B" w:rsidRDefault="00E95AC2" w:rsidP="00593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sz w:val="28"/>
                <w:szCs w:val="28"/>
              </w:rPr>
              <w:t>х</w:t>
            </w:r>
            <w:proofErr w:type="spellEnd"/>
          </w:p>
        </w:tc>
      </w:tr>
    </w:tbl>
    <w:p w:rsidR="0082134F" w:rsidRPr="00631B9B" w:rsidRDefault="0082134F" w:rsidP="00E95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E95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Средний уровень качества финансового менеджмента (E) рассчитывается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как среднее арифметическое итоговых оценок качества финансового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менеджмента всех ГАБС.</w:t>
      </w:r>
    </w:p>
    <w:p w:rsidR="00F34452" w:rsidRPr="00631B9B" w:rsidRDefault="00F34452" w:rsidP="007970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Рейтинг ГАБС формируется методом ранжирования итоговой оценки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качества финансового менеджмента каждого ГАБС. Рейтинговая оценка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каждого ГАБС (R) - это номер места в рейтинге ГАБС, составленном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относительно итоговой оценки качества финансового менеджмента каждого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ГАБС.</w:t>
      </w:r>
    </w:p>
    <w:p w:rsidR="00F34452" w:rsidRPr="00631B9B" w:rsidRDefault="00F34452" w:rsidP="00E95A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ГАБС,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получившему</w:t>
      </w:r>
      <w:proofErr w:type="gramEnd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наибольшую итоговую оценку качества финансового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менеджмента за отчетный период, присваивается первая рейтинговая оценка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(место в рейтинге). ГАБС,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получившему</w:t>
      </w:r>
      <w:proofErr w:type="gramEnd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итоговую оценку качества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менеджмента, значение которой меньше, чем наибольшее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значение, но большее, чем все остальные значения итоговых оценок,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присваивается вторая рейтинговая оценка (место в рейтинге). Остальные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рейтинговые оценки (места в рейтинге) присваиваются ГАБС аналогичным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образом.</w:t>
      </w:r>
    </w:p>
    <w:p w:rsidR="00F34452" w:rsidRPr="00631B9B" w:rsidRDefault="00EA2B8B" w:rsidP="00E95AC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8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. Характеристика качества финансового менеджмента ГАБС проводится в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зависимости от значения отклонения итоговой оценки качества финансового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менеджмента ГАБС от среднего уровня качества финансового менеджмента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ГАБС (дельта) в соответствии с таблицей 2.</w:t>
      </w:r>
    </w:p>
    <w:p w:rsidR="00F34452" w:rsidRPr="00631B9B" w:rsidRDefault="00F34452" w:rsidP="00E95A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таблица 2</w:t>
      </w:r>
    </w:p>
    <w:p w:rsidR="002C796B" w:rsidRPr="00631B9B" w:rsidRDefault="002C796B" w:rsidP="00E95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E95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Значения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отклонений итоговой оценки качества финансового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менеджмента ГАБС от среднего уровня качества финансового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менеджмента (дельта) и характеристика качества финансового</w:t>
      </w:r>
      <w:r w:rsidR="00E95AC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менеджмента ГАБС</w:t>
      </w:r>
    </w:p>
    <w:p w:rsidR="00E95AC2" w:rsidRPr="00631B9B" w:rsidRDefault="00E95AC2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3227"/>
        <w:gridCol w:w="6344"/>
      </w:tblGrid>
      <w:tr w:rsidR="00E95AC2" w:rsidRPr="00631B9B" w:rsidTr="00E95AC2">
        <w:tc>
          <w:tcPr>
            <w:tcW w:w="3227" w:type="dxa"/>
          </w:tcPr>
          <w:p w:rsidR="00E95AC2" w:rsidRPr="00631B9B" w:rsidRDefault="00E95AC2" w:rsidP="0079705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Значения дельта, %</w:t>
            </w:r>
          </w:p>
        </w:tc>
        <w:tc>
          <w:tcPr>
            <w:tcW w:w="6344" w:type="dxa"/>
          </w:tcPr>
          <w:p w:rsidR="00E95AC2" w:rsidRPr="00631B9B" w:rsidRDefault="00E95AC2" w:rsidP="0079705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Характеристика качества финансового менеджмента ГАБС</w:t>
            </w:r>
          </w:p>
        </w:tc>
      </w:tr>
      <w:tr w:rsidR="00E95AC2" w:rsidRPr="00631B9B" w:rsidTr="00E95AC2">
        <w:tc>
          <w:tcPr>
            <w:tcW w:w="3227" w:type="dxa"/>
          </w:tcPr>
          <w:p w:rsidR="00E95AC2" w:rsidRPr="00631B9B" w:rsidRDefault="00E95AC2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От 0 и выше</w:t>
            </w:r>
          </w:p>
        </w:tc>
        <w:tc>
          <w:tcPr>
            <w:tcW w:w="6344" w:type="dxa"/>
          </w:tcPr>
          <w:p w:rsidR="00E95AC2" w:rsidRPr="00631B9B" w:rsidRDefault="00E95AC2" w:rsidP="00E95AC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Уровень качества финансового менеджмента ГАБС высокий.</w:t>
            </w:r>
          </w:p>
          <w:p w:rsidR="00E95AC2" w:rsidRPr="00631B9B" w:rsidRDefault="00E95AC2" w:rsidP="00E95AC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Необходимо поддерживать достигнутый уровень </w:t>
            </w: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качества финансового менеджмента</w:t>
            </w:r>
          </w:p>
        </w:tc>
      </w:tr>
      <w:tr w:rsidR="00E95AC2" w:rsidRPr="00631B9B" w:rsidTr="00E95AC2">
        <w:tc>
          <w:tcPr>
            <w:tcW w:w="3227" w:type="dxa"/>
          </w:tcPr>
          <w:p w:rsidR="00E95AC2" w:rsidRPr="00631B9B" w:rsidRDefault="00E95AC2" w:rsidP="00E95AC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От "- 10"  (включительно) до 0</w:t>
            </w:r>
          </w:p>
        </w:tc>
        <w:tc>
          <w:tcPr>
            <w:tcW w:w="6344" w:type="dxa"/>
          </w:tcPr>
          <w:p w:rsidR="00E95AC2" w:rsidRPr="00631B9B" w:rsidRDefault="00E95AC2" w:rsidP="00E95AC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Уровень качества финансового менеджмента ГАБС удовлетворительный. </w:t>
            </w:r>
          </w:p>
          <w:p w:rsidR="00E95AC2" w:rsidRPr="00631B9B" w:rsidRDefault="00E95AC2" w:rsidP="00E95AC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Необходимо принять меры по устранению недостатков в организации финансового менеджмента, разработать и реализовать план мероприятий, направленных на улучшение качества финансового менеджмента ГАБС</w:t>
            </w:r>
          </w:p>
        </w:tc>
      </w:tr>
      <w:tr w:rsidR="00E95AC2" w:rsidRPr="00631B9B" w:rsidTr="00E95AC2">
        <w:tc>
          <w:tcPr>
            <w:tcW w:w="3227" w:type="dxa"/>
          </w:tcPr>
          <w:p w:rsidR="00E95AC2" w:rsidRPr="00631B9B" w:rsidRDefault="00E95AC2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Менее "- 10"</w:t>
            </w:r>
          </w:p>
        </w:tc>
        <w:tc>
          <w:tcPr>
            <w:tcW w:w="6344" w:type="dxa"/>
          </w:tcPr>
          <w:p w:rsidR="00E95AC2" w:rsidRPr="00631B9B" w:rsidRDefault="00E95AC2" w:rsidP="00E95AC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Уровень качества финансового менеджмента ГАБС низкий.</w:t>
            </w:r>
          </w:p>
          <w:p w:rsidR="00E95AC2" w:rsidRPr="00631B9B" w:rsidRDefault="00E95AC2" w:rsidP="00E95AC2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Необходимо принять меры по устранению недостатков в организации финансового менеджмента, разработать и реализовать план мероприятий, направленных на улучшение качества финансового менеджмента ГАБС</w:t>
            </w:r>
          </w:p>
        </w:tc>
      </w:tr>
    </w:tbl>
    <w:p w:rsidR="00F34452" w:rsidRPr="00631B9B" w:rsidRDefault="00EA2B8B" w:rsidP="0064783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9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. Анализ динамики качества финансового менеджмента ГАБС</w:t>
      </w:r>
      <w:r w:rsidR="00647833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проводится в разрезе оценок групп показателей по результатам отчетного года</w:t>
      </w:r>
      <w:r w:rsidR="00647833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и года, предшествующего </w:t>
      </w:r>
      <w:proofErr w:type="gramStart"/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отчетному</w:t>
      </w:r>
      <w:proofErr w:type="gramEnd"/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.</w:t>
      </w:r>
    </w:p>
    <w:p w:rsidR="00F34452" w:rsidRPr="00631B9B" w:rsidRDefault="00F34452" w:rsidP="006478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Изменение значения итоговой оценки качества финансового менеджмента</w:t>
      </w:r>
      <w:r w:rsidR="00647833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ГАБС по сравнению с предыдущим отчетным периодом рассчитывается по</w:t>
      </w:r>
      <w:r w:rsidR="00647833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формуле:</w:t>
      </w:r>
    </w:p>
    <w:p w:rsidR="006571D5" w:rsidRDefault="006571D5" w:rsidP="006571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  <w:lang w:val="en-US"/>
        </w:rPr>
      </w:pPr>
      <w:r>
        <w:rPr>
          <w:rFonts w:ascii="Times New Roman" w:eastAsia="TimesNewRomanPSMT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2306139" cy="1040527"/>
            <wp:effectExtent l="19050" t="0" r="0" b="0"/>
            <wp:docPr id="2" name="Рисунок 2" descr="D:\Загрузки\get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\get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414" cy="1043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452" w:rsidRPr="00631B9B" w:rsidRDefault="00F34452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где:</w:t>
      </w:r>
    </w:p>
    <w:p w:rsidR="00F34452" w:rsidRPr="00631B9B" w:rsidRDefault="00F34452" w:rsidP="00834F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ΔE - изменение значения итоговой оценки качества финансового менеджмента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ГАБС по сравнению с предыдущим периодом;</w:t>
      </w:r>
    </w:p>
    <w:p w:rsidR="00F34452" w:rsidRPr="00631B9B" w:rsidRDefault="00F34452" w:rsidP="00834F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Sgi</w:t>
      </w:r>
      <w:proofErr w:type="spellEnd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- удельный вес i-ой группы показателей оценки качества финансового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менеджмента ГАБС;</w:t>
      </w:r>
    </w:p>
    <w:p w:rsidR="00F34452" w:rsidRPr="00631B9B" w:rsidRDefault="00C620B1" w:rsidP="00834F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m:oMath>
        <m:sSubSup>
          <m:sSubSupPr>
            <m:ctrlPr>
              <w:rPr>
                <w:rFonts w:ascii="Cambria Math" w:eastAsia="TimesNewRomanPSMT" w:hAnsi="Cambria Math" w:cs="Times New Roman"/>
                <w:b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NewRomanPSMT" w:hAnsi="Cambria Math" w:cs="Times New Roman"/>
                <w:sz w:val="28"/>
                <w:szCs w:val="28"/>
              </w:rPr>
              <m:t xml:space="preserve">E </m:t>
            </m:r>
          </m:e>
          <m:sub>
            <m:r>
              <m:rPr>
                <m:sty m:val="p"/>
              </m:rPr>
              <w:rPr>
                <w:rFonts w:ascii="Cambria Math" w:eastAsia="TimesNewRomanPSMT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NewRomanPSMT" w:hAnsi="Cambria Math" w:cs="Times New Roman"/>
                <w:sz w:val="28"/>
                <w:szCs w:val="28"/>
              </w:rPr>
              <m:t>n</m:t>
            </m:r>
          </m:sup>
        </m:sSubSup>
      </m:oMath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- оценка качества финансового менеджмента ГАБС по i-ой группе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показателей качества финансового менеджмента по результатам Мониторинга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за отчетный год;</w:t>
      </w:r>
    </w:p>
    <w:p w:rsidR="00F34452" w:rsidRPr="00631B9B" w:rsidRDefault="00C620B1" w:rsidP="00834F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m:oMath>
        <m:sSubSup>
          <m:sSubSupPr>
            <m:ctrlPr>
              <w:rPr>
                <w:rFonts w:ascii="Cambria Math" w:eastAsia="TimesNewRomanPSMT" w:hAnsi="Cambria Math" w:cs="Times New Roman"/>
                <w:b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NewRomanPSMT" w:hAnsi="Cambria Math" w:cs="Times New Roman"/>
                <w:sz w:val="28"/>
                <w:szCs w:val="28"/>
              </w:rPr>
              <m:t xml:space="preserve">E </m:t>
            </m:r>
          </m:e>
          <m:sub>
            <m:r>
              <m:rPr>
                <m:sty m:val="p"/>
              </m:rPr>
              <w:rPr>
                <w:rFonts w:ascii="Cambria Math" w:eastAsia="TimesNewRomanPSMT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NewRomanPSMT" w:hAnsi="Cambria Math" w:cs="Times New Roman"/>
                <w:sz w:val="28"/>
                <w:szCs w:val="28"/>
              </w:rPr>
              <m:t>n-1</m:t>
            </m:r>
          </m:sup>
        </m:sSubSup>
      </m:oMath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- оценка качества финансового менеджмента ГАБС по i-ой группе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показателей качества финансового менеджмента по результатам Мониторинга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за предыдущий отчетный год;</w:t>
      </w:r>
    </w:p>
    <w:p w:rsidR="00F34452" w:rsidRPr="00631B9B" w:rsidRDefault="00F34452" w:rsidP="00834F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m</w:t>
      </w:r>
      <w:proofErr w:type="spellEnd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- число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групп показателей оценки качества финансового менеджмента</w:t>
      </w:r>
      <w:proofErr w:type="gramEnd"/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ГАБС;</w:t>
      </w:r>
    </w:p>
    <w:p w:rsidR="00F34452" w:rsidRPr="00631B9B" w:rsidRDefault="00F34452" w:rsidP="00834F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spell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n</w:t>
      </w:r>
      <w:proofErr w:type="spellEnd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- отчетный год.</w:t>
      </w:r>
    </w:p>
    <w:p w:rsidR="00F34452" w:rsidRPr="00631B9B" w:rsidRDefault="00EA2B8B" w:rsidP="00834FC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10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. Анализ динамики качества финансового менеджмента ГАБС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используется в качестве дополнительного критерия ранжирования ГАБС при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формировании рейтинга ГАБС при равных достигнутых итоговых оценках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качества финансового менеджмента одного или более ГАБС по итогам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отчетного года.</w:t>
      </w:r>
    </w:p>
    <w:p w:rsidR="00F34452" w:rsidRPr="00631B9B" w:rsidRDefault="00F34452" w:rsidP="00834F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ГАБС, имеющие большую динамику качества финансового менеджмента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при одинаковом значении итоговой оценки качества финансового менеджмента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 итогам отчетного года, располагаются в формируемом рейтинге выше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ГАБС,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имеющих</w:t>
      </w:r>
      <w:proofErr w:type="gramEnd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более низкую динамику качества финансового менеджмента в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отчетном году по сравнению с предыдущим.</w:t>
      </w:r>
    </w:p>
    <w:p w:rsidR="00F34452" w:rsidRPr="00631B9B" w:rsidRDefault="00F34452" w:rsidP="00834FC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1</w:t>
      </w:r>
      <w:r w:rsidR="00EA2B8B" w:rsidRPr="00631B9B">
        <w:rPr>
          <w:rFonts w:ascii="Times New Roman" w:eastAsia="TimesNewRomanPSMT" w:hAnsi="Times New Roman" w:cs="Times New Roman"/>
          <w:bCs/>
          <w:sz w:val="28"/>
          <w:szCs w:val="28"/>
        </w:rPr>
        <w:t>1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. В случае выявления отрицательной динамики оценки по группе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показателей «3. Эффективность управления кредиторской задолженностью» (в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отчетном году по сравнению с предшествующим годом) ГАБС не может быть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присвоен высокий уровень качества финансового менеджмента независимо от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итоговой оценки качества финансового менеджмента.</w:t>
      </w:r>
    </w:p>
    <w:p w:rsidR="00834FCF" w:rsidRPr="00631B9B" w:rsidRDefault="00834FCF" w:rsidP="008A35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834FC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Формирование и представление информации, необходимой для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проведения Мониторинга</w:t>
      </w:r>
    </w:p>
    <w:p w:rsidR="00834FCF" w:rsidRPr="00631B9B" w:rsidRDefault="00834FCF" w:rsidP="00834FCF">
      <w:pPr>
        <w:pStyle w:val="a5"/>
        <w:autoSpaceDE w:val="0"/>
        <w:autoSpaceDN w:val="0"/>
        <w:adjustRightInd w:val="0"/>
        <w:spacing w:after="0" w:line="240" w:lineRule="auto"/>
        <w:ind w:left="1080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834FC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1</w:t>
      </w:r>
      <w:r w:rsidR="00EA2B8B" w:rsidRPr="00631B9B">
        <w:rPr>
          <w:rFonts w:ascii="Times New Roman" w:eastAsia="TimesNewRomanPSMT" w:hAnsi="Times New Roman" w:cs="Times New Roman"/>
          <w:bCs/>
          <w:sz w:val="28"/>
          <w:szCs w:val="28"/>
        </w:rPr>
        <w:t>2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. Мониторинг проводится 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ф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инансов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ым управлением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на основании данных годовой бюджетной отчетности, информации,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необходимой для расчета показателей Мониторинга, представляемой в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финансовое управление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области ГАБС, а также общедоступных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(размещенных на официальных сайтах в информационно-телекоммуникационной сети «Интернет») сведений.</w:t>
      </w:r>
    </w:p>
    <w:p w:rsidR="00F34452" w:rsidRPr="00631B9B" w:rsidRDefault="00F34452" w:rsidP="00834FC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1</w:t>
      </w:r>
      <w:r w:rsidR="00EA2B8B" w:rsidRPr="00631B9B">
        <w:rPr>
          <w:rFonts w:ascii="Times New Roman" w:eastAsia="TimesNewRomanPSMT" w:hAnsi="Times New Roman" w:cs="Times New Roman"/>
          <w:bCs/>
          <w:sz w:val="28"/>
          <w:szCs w:val="28"/>
        </w:rPr>
        <w:t>3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В целях проведения Мониторинга ГАБС представляют в финансов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ое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управление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в срок </w:t>
      </w:r>
      <w:r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 xml:space="preserve">до 1 </w:t>
      </w:r>
      <w:r w:rsidR="00801937"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>марта</w:t>
      </w:r>
      <w:r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 xml:space="preserve"> года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, следующего за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отчетным, информацию, необходимую для проведения оценки качества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финансового менеджмента, осуществляемого ГАБС, согласно приложению № 2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к настоящему Порядку.</w:t>
      </w:r>
      <w:proofErr w:type="gramEnd"/>
    </w:p>
    <w:p w:rsidR="00834FCF" w:rsidRPr="00631B9B" w:rsidRDefault="00834FCF" w:rsidP="008A35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834F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IV. Правила формирования и представления отчета о результатах</w:t>
      </w:r>
      <w:r w:rsidR="00834FC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Мониторинга</w:t>
      </w:r>
    </w:p>
    <w:p w:rsidR="00834FCF" w:rsidRPr="00631B9B" w:rsidRDefault="00834FCF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1</w:t>
      </w:r>
      <w:r w:rsidR="00EA2B8B" w:rsidRPr="00631B9B">
        <w:rPr>
          <w:rFonts w:ascii="Times New Roman" w:eastAsia="TimesNewRomanPSMT" w:hAnsi="Times New Roman" w:cs="Times New Roman"/>
          <w:bCs/>
          <w:sz w:val="28"/>
          <w:szCs w:val="28"/>
        </w:rPr>
        <w:t>4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Ф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инансов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ое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управление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размещает результаты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Мониторинга на официальном сайте 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администрации города Боготола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 </w:t>
      </w:r>
      <w:r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>не позднее 15 апреля года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, следующего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за</w:t>
      </w:r>
      <w:proofErr w:type="gramEnd"/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отчетным.</w:t>
      </w:r>
    </w:p>
    <w:p w:rsidR="00F34452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>В течение 7 дней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с даты размещения</w:t>
      </w:r>
      <w:proofErr w:type="gramEnd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ГАБС анализируют результаты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Мониторинга и представляют в финансов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ое управление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пояснения по причинам, повлиявшим на значение оценки отдельных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показателей и (или) итоговых оценок качества финансового менеджмента ниже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среднего уровня по каждой Группе, для составления отчета о результатах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Мониторинга.</w:t>
      </w:r>
    </w:p>
    <w:p w:rsidR="00F34452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ГАБС, которым по результатам Мониторинга присвоен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удовлетворительный и низкий уровень качества финансового менеджмента,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утверждают правовым актом ГАБС планы мероприятий, направленные на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устранение недостатков в организации финансового менеджмента и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улучшение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его качества, и представляют их в финансов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ое управление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в срок </w:t>
      </w:r>
      <w:r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>не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>позднее 15 мая года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, следующего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за</w:t>
      </w:r>
      <w:proofErr w:type="gramEnd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отчетным.</w:t>
      </w:r>
    </w:p>
    <w:p w:rsidR="00F34452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Указанные планы должны включать мероприятия по обеспечению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достижения целевых значений показателей качества финансового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менеджмента, в частности разработку и актуализацию правовых актов ГАБС,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регламентирующих выполнение процедур и операций по исполнению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бюджетных полномочий, установленных бюджетным законодательством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Российской Федерации, а также повышению качества управления активами,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осуществления закупок товаров, работ и услуг для обеспечения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BE63DC" w:rsidRPr="00631B9B">
        <w:rPr>
          <w:rFonts w:ascii="Times New Roman" w:eastAsia="TimesNewRomanPSMT" w:hAnsi="Times New Roman" w:cs="Times New Roman"/>
          <w:bCs/>
          <w:sz w:val="28"/>
          <w:szCs w:val="28"/>
        </w:rPr>
        <w:t>муниципаль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ных нужд, уровня открытости бюджетных данных.</w:t>
      </w:r>
      <w:proofErr w:type="gramEnd"/>
    </w:p>
    <w:p w:rsidR="00801937" w:rsidRPr="00631B9B" w:rsidRDefault="00F34452" w:rsidP="00E64FED">
      <w:pPr>
        <w:widowControl w:val="0"/>
        <w:shd w:val="clear" w:color="auto" w:fill="FFFFFF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1</w:t>
      </w:r>
      <w:r w:rsidR="00EA2B8B" w:rsidRPr="00631B9B">
        <w:rPr>
          <w:rFonts w:ascii="Times New Roman" w:eastAsia="TimesNewRomanPSMT" w:hAnsi="Times New Roman" w:cs="Times New Roman"/>
          <w:bCs/>
          <w:sz w:val="28"/>
          <w:szCs w:val="28"/>
        </w:rPr>
        <w:t>5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. </w:t>
      </w:r>
      <w:proofErr w:type="gramStart"/>
      <w:r w:rsidR="00801937" w:rsidRPr="00631B9B">
        <w:rPr>
          <w:rFonts w:ascii="Times New Roman" w:eastAsia="TimesNewRomanPSMT" w:hAnsi="Times New Roman" w:cs="Times New Roman"/>
          <w:bCs/>
          <w:sz w:val="28"/>
          <w:szCs w:val="28"/>
        </w:rPr>
        <w:t>Результаты Мониторинга</w:t>
      </w:r>
      <w:r w:rsidR="00E64FED" w:rsidRPr="00631B9B">
        <w:rPr>
          <w:rFonts w:ascii="Times New Roman" w:eastAsia="TimesNewRomanPSMT" w:hAnsi="Times New Roman" w:cs="Times New Roman"/>
          <w:bCs/>
          <w:sz w:val="28"/>
          <w:szCs w:val="28"/>
        </w:rPr>
        <w:t>,</w:t>
      </w:r>
      <w:r w:rsidR="00801937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пояснения ГАБС по причинам, повлиявшим на значение оценки отдельных показателей и (или) итоговых оценок качества финансового менеджмента ниже среднего уровня по каждой Группе</w:t>
      </w:r>
      <w:r w:rsidR="00E64FED" w:rsidRPr="00631B9B">
        <w:rPr>
          <w:rFonts w:ascii="Times New Roman" w:eastAsia="TimesNewRomanPSMT" w:hAnsi="Times New Roman" w:cs="Times New Roman"/>
          <w:bCs/>
          <w:sz w:val="28"/>
          <w:szCs w:val="28"/>
        </w:rPr>
        <w:t>, а так же планы мероприятий, направленные на устранение недостатков в организации финансового менеджмента и улучшение его качества, рассматриваются на комиссии по вопросам социально</w:t>
      </w:r>
      <w:r w:rsidR="00E64FED" w:rsidRPr="00631B9B">
        <w:rPr>
          <w:rFonts w:ascii="Times New Roman" w:hAnsi="Times New Roman" w:cs="Times New Roman"/>
          <w:color w:val="000000"/>
          <w:sz w:val="28"/>
          <w:szCs w:val="28"/>
        </w:rPr>
        <w:t>-экономического развития города Боготола и по бюджетным проектировкам на очередной финансовый год и</w:t>
      </w:r>
      <w:proofErr w:type="gramEnd"/>
      <w:r w:rsidR="00E64FED" w:rsidRPr="00631B9B">
        <w:rPr>
          <w:rFonts w:ascii="Times New Roman" w:hAnsi="Times New Roman" w:cs="Times New Roman"/>
          <w:color w:val="000000"/>
          <w:sz w:val="28"/>
          <w:szCs w:val="28"/>
        </w:rPr>
        <w:t xml:space="preserve"> плановый период.</w:t>
      </w:r>
    </w:p>
    <w:p w:rsidR="00F34452" w:rsidRPr="00631B9B" w:rsidRDefault="00801937" w:rsidP="00D904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16. </w:t>
      </w:r>
      <w:proofErr w:type="gramStart"/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 результатам оценки качества финансового менеджмента, а также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анализа сведений ГАБС о причинах, повлиявших на значения показателей, и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принимаемых ГАБС мерах по повышению качества финансового менеджмента,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финансов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ое управление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формирует отчет о результатах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Мониторинга, и размещает на официальном сайте 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>администрации города Боготола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в информационно-телекоммуникационной сети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«Интернет» в срок </w:t>
      </w:r>
      <w:r w:rsidR="00F34452"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>до 15 июня</w:t>
      </w:r>
      <w:r w:rsidR="00D9045B"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 xml:space="preserve"> </w:t>
      </w:r>
      <w:r w:rsidR="00F34452" w:rsidRPr="00F05C5A">
        <w:rPr>
          <w:rFonts w:ascii="Times New Roman" w:eastAsia="TimesNewRomanPSMT" w:hAnsi="Times New Roman" w:cs="Times New Roman"/>
          <w:bCs/>
          <w:sz w:val="28"/>
          <w:szCs w:val="28"/>
          <w:highlight w:val="yellow"/>
        </w:rPr>
        <w:t>года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, следующего за отчетным.</w:t>
      </w:r>
      <w:proofErr w:type="gramEnd"/>
    </w:p>
    <w:p w:rsidR="00D9045B" w:rsidRPr="00631B9B" w:rsidRDefault="00D9045B">
      <w:pPr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br w:type="page"/>
      </w:r>
    </w:p>
    <w:p w:rsidR="00D9045B" w:rsidRPr="00631B9B" w:rsidRDefault="00D9045B" w:rsidP="00D9045B">
      <w:pPr>
        <w:autoSpaceDE w:val="0"/>
        <w:autoSpaceDN w:val="0"/>
        <w:adjustRightInd w:val="0"/>
        <w:spacing w:after="0" w:line="240" w:lineRule="auto"/>
        <w:ind w:firstLine="5245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  <w:sectPr w:rsidR="00D9045B" w:rsidRPr="00631B9B" w:rsidSect="00885186">
          <w:pgSz w:w="11906" w:h="16838"/>
          <w:pgMar w:top="1134" w:right="850" w:bottom="1135" w:left="1701" w:header="708" w:footer="708" w:gutter="0"/>
          <w:cols w:space="708"/>
          <w:docGrid w:linePitch="360"/>
        </w:sectPr>
      </w:pPr>
    </w:p>
    <w:p w:rsidR="00F34452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8505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Приложение № 1</w:t>
      </w:r>
    </w:p>
    <w:p w:rsidR="00D9045B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к Порядку проведения 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мониторинга качества </w:t>
      </w:r>
    </w:p>
    <w:p w:rsidR="00D9045B" w:rsidRPr="00631B9B" w:rsidRDefault="00D9045B" w:rsidP="00D9045B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ф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инансового менеджмента,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осуществляемого </w:t>
      </w:r>
    </w:p>
    <w:p w:rsidR="00D9045B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главными 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администраторами средств </w:t>
      </w:r>
    </w:p>
    <w:p w:rsidR="0079705F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бюджета 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города Боготол 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(главными </w:t>
      </w:r>
      <w:proofErr w:type="gramEnd"/>
    </w:p>
    <w:p w:rsidR="0079705F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распорядителями средств бюджета 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города </w:t>
      </w:r>
    </w:p>
    <w:p w:rsidR="0079705F" w:rsidRPr="00631B9B" w:rsidRDefault="00D9045B" w:rsidP="00D9045B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Боготол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,</w:t>
      </w:r>
      <w:r w:rsidR="0079705F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главными администраторами доходов </w:t>
      </w:r>
    </w:p>
    <w:p w:rsidR="0079705F" w:rsidRPr="00631B9B" w:rsidRDefault="0079705F" w:rsidP="00D9045B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б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юджета 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>города Боготол</w:t>
      </w:r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,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  <w:proofErr w:type="gramStart"/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>главными</w:t>
      </w:r>
      <w:proofErr w:type="gramEnd"/>
      <w:r w:rsidR="00F34452"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</w:p>
    <w:p w:rsidR="0079705F" w:rsidRPr="00631B9B" w:rsidRDefault="00F34452" w:rsidP="0079705F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администраторами источников финансирования </w:t>
      </w:r>
    </w:p>
    <w:p w:rsidR="00F34452" w:rsidRPr="00631B9B" w:rsidRDefault="00F34452" w:rsidP="00D9045B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дефицита бюджета </w:t>
      </w:r>
      <w:r w:rsidR="00D9045B" w:rsidRPr="00631B9B">
        <w:rPr>
          <w:rFonts w:ascii="Times New Roman" w:eastAsia="TimesNewRomanPSMT" w:hAnsi="Times New Roman" w:cs="Times New Roman"/>
          <w:bCs/>
          <w:sz w:val="28"/>
          <w:szCs w:val="28"/>
        </w:rPr>
        <w:t>города Боготол</w:t>
      </w: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)</w:t>
      </w:r>
    </w:p>
    <w:p w:rsidR="00D9045B" w:rsidRPr="00631B9B" w:rsidRDefault="00D9045B" w:rsidP="00D904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D904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ПОКАЗАТЕЛИ</w:t>
      </w:r>
    </w:p>
    <w:p w:rsidR="00F34452" w:rsidRPr="00631B9B" w:rsidRDefault="00F34452" w:rsidP="00D904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качества финансового менеджмента</w:t>
      </w:r>
    </w:p>
    <w:p w:rsidR="00D9045B" w:rsidRPr="00631B9B" w:rsidRDefault="00D9045B" w:rsidP="00D904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</w:p>
    <w:tbl>
      <w:tblPr>
        <w:tblStyle w:val="a9"/>
        <w:tblW w:w="14742" w:type="dxa"/>
        <w:tblLayout w:type="fixed"/>
        <w:tblLook w:val="04A0"/>
      </w:tblPr>
      <w:tblGrid>
        <w:gridCol w:w="3079"/>
        <w:gridCol w:w="2983"/>
        <w:gridCol w:w="992"/>
        <w:gridCol w:w="1134"/>
        <w:gridCol w:w="3260"/>
        <w:gridCol w:w="3294"/>
      </w:tblGrid>
      <w:tr w:rsidR="009C1D5D" w:rsidRPr="00631B9B" w:rsidTr="00A1488F">
        <w:tc>
          <w:tcPr>
            <w:tcW w:w="3079" w:type="dxa"/>
          </w:tcPr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83" w:type="dxa"/>
          </w:tcPr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Расчет показателя</w:t>
            </w:r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D9045B" w:rsidRPr="00631B9B" w:rsidRDefault="00D9045B" w:rsidP="00503BA6">
            <w:pPr>
              <w:autoSpaceDE w:val="0"/>
              <w:autoSpaceDN w:val="0"/>
              <w:adjustRightInd w:val="0"/>
              <w:ind w:left="-62" w:right="-108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Единица</w:t>
            </w:r>
          </w:p>
          <w:p w:rsidR="00D9045B" w:rsidRPr="00631B9B" w:rsidRDefault="00D9045B" w:rsidP="00503BA6">
            <w:pPr>
              <w:autoSpaceDE w:val="0"/>
              <w:autoSpaceDN w:val="0"/>
              <w:adjustRightInd w:val="0"/>
              <w:ind w:left="-62" w:right="-108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измере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-</w:t>
            </w:r>
          </w:p>
          <w:p w:rsidR="00D9045B" w:rsidRPr="00631B9B" w:rsidRDefault="00D9045B" w:rsidP="00503BA6">
            <w:pPr>
              <w:autoSpaceDE w:val="0"/>
              <w:autoSpaceDN w:val="0"/>
              <w:adjustRightInd w:val="0"/>
              <w:ind w:left="-62" w:right="-108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ния</w:t>
            </w:r>
            <w:proofErr w:type="spellEnd"/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Удель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-</w:t>
            </w:r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ный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вес</w:t>
            </w:r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группы</w:t>
            </w:r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в</w:t>
            </w:r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оценке/</w:t>
            </w:r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показате</w:t>
            </w:r>
            <w:proofErr w:type="spellEnd"/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ля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группе</w:t>
            </w:r>
          </w:p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(в %)</w:t>
            </w:r>
          </w:p>
        </w:tc>
        <w:tc>
          <w:tcPr>
            <w:tcW w:w="3260" w:type="dxa"/>
          </w:tcPr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3294" w:type="dxa"/>
          </w:tcPr>
          <w:p w:rsidR="00D9045B" w:rsidRPr="00631B9B" w:rsidRDefault="00D9045B" w:rsidP="009C1D5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Комментарий</w:t>
            </w:r>
          </w:p>
        </w:tc>
      </w:tr>
      <w:tr w:rsidR="009C1D5D" w:rsidRPr="00631B9B" w:rsidTr="00A1488F">
        <w:tc>
          <w:tcPr>
            <w:tcW w:w="3079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83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D9045B" w:rsidRPr="00631B9B" w:rsidTr="002E114A">
        <w:tc>
          <w:tcPr>
            <w:tcW w:w="7054" w:type="dxa"/>
            <w:gridSpan w:val="3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 Среднесрочное финансовое планирование</w:t>
            </w:r>
          </w:p>
        </w:tc>
        <w:tc>
          <w:tcPr>
            <w:tcW w:w="1134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9C1D5D" w:rsidRPr="00631B9B" w:rsidTr="00A1488F">
        <w:tc>
          <w:tcPr>
            <w:tcW w:w="3079" w:type="dxa"/>
          </w:tcPr>
          <w:p w:rsidR="00D9045B" w:rsidRPr="00631B9B" w:rsidRDefault="009C1D5D" w:rsidP="005B05BF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</w:t>
            </w:r>
            <w:r w:rsidR="005B05B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Качество планирования бюджетных расходов</w:t>
            </w:r>
          </w:p>
        </w:tc>
        <w:tc>
          <w:tcPr>
            <w:tcW w:w="2983" w:type="dxa"/>
          </w:tcPr>
          <w:p w:rsidR="00322354" w:rsidRPr="00631B9B" w:rsidRDefault="00322354" w:rsidP="0032235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="00BE63D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="00BE63D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E63D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</w:t>
            </w:r>
            <w:proofErr w:type="gramEnd"/>
            <w:r w:rsidR="00BE63D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</w:t>
            </w:r>
            <w:proofErr w:type="spellEnd"/>
            <w:r w:rsidR="006B74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r w:rsidR="00BE63D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/ S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</w:t>
            </w:r>
          </w:p>
          <w:p w:rsidR="00322354" w:rsidRPr="00631B9B" w:rsidRDefault="00322354" w:rsidP="0032235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322354" w:rsidRPr="00631B9B" w:rsidRDefault="00322354" w:rsidP="0032235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Sо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сумма отрицательных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изменений сводной бюджетной росписи бюджета 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города Боготола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и лимитов бюджетных обязательств в отчетном финансовом году за исключением:</w:t>
            </w:r>
          </w:p>
          <w:p w:rsidR="00322354" w:rsidRPr="00631B9B" w:rsidRDefault="00322354" w:rsidP="00322354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1) средств федерального </w:t>
            </w:r>
            <w:r w:rsidR="008B7E53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и краевого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бюджета и расходов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на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их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;</w:t>
            </w:r>
          </w:p>
          <w:p w:rsidR="00322354" w:rsidRPr="00631B9B" w:rsidRDefault="00322354" w:rsidP="00322354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2) суммы отрицательных изменений, вносимых в связи с изменением состава или полномочий (функций) главных распорядителей (подведомственных им учреждений);</w:t>
            </w:r>
          </w:p>
          <w:p w:rsidR="00322354" w:rsidRPr="00631B9B" w:rsidRDefault="00322354" w:rsidP="00322354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3) бюджетных ассигнований, зарезервированных в составе 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решения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Боготольского</w:t>
            </w:r>
            <w:proofErr w:type="spellEnd"/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городского Совета депутатов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 бюджете 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городского округа города Боготол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 очередной финансовый год и на плановый период.</w:t>
            </w:r>
          </w:p>
          <w:p w:rsidR="00D9045B" w:rsidRPr="00631B9B" w:rsidRDefault="00322354" w:rsidP="00116C7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S - объем бюджетных ассигнований ГАБС  согласно сводной бюджетной росписи бюджета 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города Боготола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 конец отчетного финансового года</w:t>
            </w:r>
          </w:p>
        </w:tc>
        <w:tc>
          <w:tcPr>
            <w:tcW w:w="992" w:type="dxa"/>
          </w:tcPr>
          <w:p w:rsidR="00D9045B" w:rsidRPr="00631B9B" w:rsidRDefault="00322354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1134" w:type="dxa"/>
          </w:tcPr>
          <w:p w:rsidR="00D9045B" w:rsidRPr="00631B9B" w:rsidRDefault="00322354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3260" w:type="dxa"/>
          </w:tcPr>
          <w:p w:rsidR="00322354" w:rsidRPr="00631B9B" w:rsidRDefault="00322354" w:rsidP="0032235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= 0%</w:t>
            </w:r>
          </w:p>
          <w:p w:rsidR="00322354" w:rsidRPr="00631B9B" w:rsidRDefault="00322354" w:rsidP="0032235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=0,7, если 0% &lt; Р &lt;= 3%</w:t>
            </w:r>
          </w:p>
          <w:p w:rsidR="00322354" w:rsidRPr="00631B9B" w:rsidRDefault="00322354" w:rsidP="0032235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=0,5, если 3% &lt; Р &lt;= 7%</w:t>
            </w:r>
          </w:p>
          <w:p w:rsidR="00322354" w:rsidRPr="00631B9B" w:rsidRDefault="00576764" w:rsidP="0032235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</w:t>
            </w:r>
            <w:r w:rsidR="00322354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=0,3 если 7% &lt; Р &lt;= 10%</w:t>
            </w:r>
          </w:p>
          <w:p w:rsidR="00322354" w:rsidRPr="00631B9B" w:rsidRDefault="00322354" w:rsidP="0032235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 если Р &gt; 10%</w:t>
            </w:r>
          </w:p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D9045B" w:rsidRPr="00631B9B" w:rsidRDefault="00322354" w:rsidP="0032235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Показатель отражает качество планирования бюджетных расходов. Целевым ориентиром для ГАБС является значение показателя, равное 0%</w:t>
            </w:r>
          </w:p>
        </w:tc>
      </w:tr>
      <w:tr w:rsidR="009C1D5D" w:rsidRPr="00631B9B" w:rsidTr="00A1488F">
        <w:tc>
          <w:tcPr>
            <w:tcW w:w="3079" w:type="dxa"/>
          </w:tcPr>
          <w:p w:rsidR="00D9045B" w:rsidRPr="00631B9B" w:rsidRDefault="00954A98" w:rsidP="005B05BF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="005B05B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Погрешность кассового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планирования</w:t>
            </w:r>
          </w:p>
        </w:tc>
        <w:tc>
          <w:tcPr>
            <w:tcW w:w="2983" w:type="dxa"/>
          </w:tcPr>
          <w:p w:rsidR="008B7E53" w:rsidRDefault="008B7E53" w:rsidP="00954A9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39487" cy="486953"/>
                  <wp:effectExtent l="19050" t="0" r="0" b="0"/>
                  <wp:docPr id="3" name="Рисунок 3" descr="D:\Загрузки\get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Загрузки\get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226" cy="4908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4A98" w:rsidRPr="00631B9B" w:rsidRDefault="00954A98" w:rsidP="00954A9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954A98" w:rsidRPr="00631B9B" w:rsidRDefault="00954A98" w:rsidP="00954A9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EPt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сумма расходов ГАБС,</w:t>
            </w:r>
          </w:p>
          <w:p w:rsidR="00954A98" w:rsidRPr="00631B9B" w:rsidRDefault="00954A98" w:rsidP="00954A9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установленная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 кассовом плане по расходам на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t-ый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месяц, сформированном на начало отчетного года (без учета безвозмездных поступлений целевого характера и расходов на их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резервных средств;</w:t>
            </w:r>
          </w:p>
          <w:p w:rsidR="00954A98" w:rsidRPr="00631B9B" w:rsidRDefault="00954A98" w:rsidP="00954A9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Et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кассовое исполнение расходов ГАБС в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t-ом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месяце отчетного года;</w:t>
            </w:r>
          </w:p>
          <w:p w:rsidR="00D9045B" w:rsidRPr="00631B9B" w:rsidRDefault="00954A98" w:rsidP="0056138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t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соответствующий месяц отчетного года</w:t>
            </w:r>
          </w:p>
        </w:tc>
        <w:tc>
          <w:tcPr>
            <w:tcW w:w="992" w:type="dxa"/>
          </w:tcPr>
          <w:p w:rsidR="00D9045B" w:rsidRPr="00631B9B" w:rsidRDefault="00954A98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%</w:t>
            </w:r>
          </w:p>
        </w:tc>
        <w:tc>
          <w:tcPr>
            <w:tcW w:w="1134" w:type="dxa"/>
          </w:tcPr>
          <w:p w:rsidR="00D9045B" w:rsidRPr="00631B9B" w:rsidRDefault="00954A98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260" w:type="dxa"/>
          </w:tcPr>
          <w:p w:rsidR="0085337F" w:rsidRPr="00631B9B" w:rsidRDefault="00C620B1" w:rsidP="0085337F">
            <w:pPr>
              <w:autoSpaceDE w:val="0"/>
              <w:autoSpaceDN w:val="0"/>
              <w:adjustRightInd w:val="0"/>
              <w:ind w:firstLine="601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Cs/>
                <w:noProof/>
                <w:sz w:val="24"/>
                <w:szCs w:val="24"/>
                <w:lang w:eastAsia="ru-RU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6" type="#_x0000_t87" style="position:absolute;left:0;text-align:left;margin-left:17.95pt;margin-top:1.95pt;width:7.15pt;height:46.4pt;z-index:251658240;mso-position-horizontal-relative:text;mso-position-vertical-relative:text"/>
              </w:pict>
            </w:r>
            <w:r w:rsidR="0085337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1, если </w:t>
            </w:r>
            <w:proofErr w:type="gramStart"/>
            <w:r w:rsidR="0085337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="0085337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≤0,2</w:t>
            </w:r>
          </w:p>
          <w:p w:rsidR="00D9045B" w:rsidRPr="00631B9B" w:rsidRDefault="0085337F" w:rsidP="0085337F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=      </w:t>
            </w:r>
            <m:oMath>
              <m:f>
                <m:fPr>
                  <m:ctrlPr>
                    <w:rPr>
                      <w:rFonts w:ascii="Cambria Math" w:eastAsia="TimesNewRomanPSMT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NewRomanPSMT" w:hAnsi="Cambria Math" w:cs="Times New Roman"/>
                      <w:sz w:val="24"/>
                      <w:szCs w:val="24"/>
                    </w:rPr>
                    <m:t>0,5-Р</m:t>
                  </m:r>
                </m:num>
                <m:den>
                  <m:r>
                    <w:rPr>
                      <w:rFonts w:ascii="Cambria Math" w:eastAsia="TimesNewRomanPSMT" w:hAnsi="Cambria Math" w:cs="Times New Roman"/>
                      <w:sz w:val="24"/>
                      <w:szCs w:val="24"/>
                    </w:rPr>
                    <m:t>0,3</m:t>
                  </m:r>
                </m:den>
              </m:f>
            </m:oMath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если 0,2&lt;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P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&lt;0,5</w:t>
            </w:r>
          </w:p>
          <w:p w:rsidR="0085337F" w:rsidRPr="00631B9B" w:rsidRDefault="0085337F" w:rsidP="0085337F">
            <w:pPr>
              <w:autoSpaceDE w:val="0"/>
              <w:autoSpaceDN w:val="0"/>
              <w:adjustRightInd w:val="0"/>
              <w:ind w:firstLine="601"/>
              <w:rPr>
                <w:rFonts w:ascii="Times New Roman" w:eastAsia="TimesNewRomanPSMT" w:hAnsi="Times New Roman" w:cs="Times New Roman"/>
                <w:bCs/>
                <w:i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если Р≥0,5</w:t>
            </w:r>
          </w:p>
        </w:tc>
        <w:tc>
          <w:tcPr>
            <w:tcW w:w="3294" w:type="dxa"/>
          </w:tcPr>
          <w:p w:rsidR="00D9045B" w:rsidRPr="00631B9B" w:rsidRDefault="00954A98" w:rsidP="00954A9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Показатель отражает качество прогнозирования исполнения расходов в текущем финансовом году, а также риски появления кассовых разрывов в текущем финансовом году за счет ненадлежащего кассового прогнозирования расходов. Целевым ориентиром является значение показателя, меньшее или равное 0,2</w:t>
            </w:r>
          </w:p>
        </w:tc>
      </w:tr>
      <w:tr w:rsidR="009C1D5D" w:rsidRPr="00631B9B" w:rsidTr="00A1488F">
        <w:tc>
          <w:tcPr>
            <w:tcW w:w="3079" w:type="dxa"/>
          </w:tcPr>
          <w:p w:rsidR="00D9045B" w:rsidRPr="00631B9B" w:rsidRDefault="004D32A0" w:rsidP="00731748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</w:t>
            </w:r>
            <w:r w:rsidR="005B05B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Своевременность представления фрагментов реестра расходных обязательств в финансов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ое управление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и соответствие объемов бюджетных ассигнований на их исполнение отчету об исполнении бюджета (за отчетный период) и </w:t>
            </w:r>
            <w:r w:rsidR="00731748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решении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 бюджете на текущий финансовый год и плановый период</w:t>
            </w:r>
          </w:p>
        </w:tc>
        <w:tc>
          <w:tcPr>
            <w:tcW w:w="2983" w:type="dxa"/>
          </w:tcPr>
          <w:p w:rsidR="004D32A0" w:rsidRPr="00631B9B" w:rsidRDefault="004D32A0" w:rsidP="004D32A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1 при своевременном представлении фрагментов реестра расходных обязательств и полном соответствии объемов бюджетных ассигнований на их исполнение отчету, </w:t>
            </w:r>
            <w:r w:rsidR="00731748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решении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 соответствующий период,</w:t>
            </w:r>
          </w:p>
          <w:p w:rsidR="00D9045B" w:rsidRPr="00631B9B" w:rsidRDefault="004D32A0" w:rsidP="0073174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 при несвоевременном представлении фрагмента реестра расходных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обязательств или при несоответствии объемов бюджетных ассигнований на их исполнение отчету, </w:t>
            </w:r>
            <w:r w:rsidR="00731748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решении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 соответствующий период</w:t>
            </w:r>
          </w:p>
        </w:tc>
        <w:tc>
          <w:tcPr>
            <w:tcW w:w="992" w:type="dxa"/>
          </w:tcPr>
          <w:p w:rsidR="00D9045B" w:rsidRPr="00631B9B" w:rsidRDefault="00D9045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45B" w:rsidRPr="00631B9B" w:rsidRDefault="004D32A0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D9045B" w:rsidRPr="00631B9B" w:rsidRDefault="004D32A0" w:rsidP="004D32A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Е (Р) =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294" w:type="dxa"/>
          </w:tcPr>
          <w:p w:rsidR="004D32A0" w:rsidRPr="00631B9B" w:rsidRDefault="004D32A0" w:rsidP="004D32A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Показатель характеризует своевременность представления фрагментов реестра расходных обязательств в финансов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ое управление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и соответствие объемов бюджетных ассигнований на их исполнение отчету об исполнении бюджета (за отчетный период) и </w:t>
            </w:r>
            <w:r w:rsidR="00731748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решении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 бюджете на текущий финансовый год и плановый период.</w:t>
            </w:r>
          </w:p>
          <w:p w:rsidR="00D9045B" w:rsidRPr="00631B9B" w:rsidRDefault="004D32A0" w:rsidP="004D32A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Целевым ориентиром является значение показателя, равное 1</w:t>
            </w:r>
          </w:p>
        </w:tc>
      </w:tr>
      <w:tr w:rsidR="004D32A0" w:rsidRPr="00631B9B" w:rsidTr="00A1488F">
        <w:tc>
          <w:tcPr>
            <w:tcW w:w="3079" w:type="dxa"/>
          </w:tcPr>
          <w:p w:rsidR="004D32A0" w:rsidRPr="00631B9B" w:rsidRDefault="004D32A0" w:rsidP="005B05B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="005B05B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Доля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учреждений, для которых применены количественно измеримые финансовые санкции (штрафы, изъятия) за нарушение условий выполнения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заданий (без учета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казенных учреждений, являющихся органами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власти 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города Боготола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983" w:type="dxa"/>
          </w:tcPr>
          <w:p w:rsidR="004D32A0" w:rsidRPr="00631B9B" w:rsidRDefault="004D32A0" w:rsidP="004D32A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x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Os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/ O, где:</w:t>
            </w:r>
          </w:p>
          <w:p w:rsidR="004D32A0" w:rsidRPr="00631B9B" w:rsidRDefault="004D32A0" w:rsidP="007204B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Os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учреждений, представляющих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услуги в соответствии с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заданиями, для которых применены количественно измеримые финансовые санкции (штрафы, изъятия) за нарушение условий выполнения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заданий;</w:t>
            </w:r>
          </w:p>
          <w:p w:rsidR="004D32A0" w:rsidRPr="00631B9B" w:rsidRDefault="004D32A0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O -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учреждений, представляющих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услуги в соответствии с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заданиями</w:t>
            </w:r>
          </w:p>
        </w:tc>
        <w:tc>
          <w:tcPr>
            <w:tcW w:w="992" w:type="dxa"/>
          </w:tcPr>
          <w:p w:rsidR="004D32A0" w:rsidRPr="00631B9B" w:rsidRDefault="004D32A0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4D32A0" w:rsidRPr="00631B9B" w:rsidRDefault="004D32A0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4D32A0" w:rsidRPr="00631B9B" w:rsidRDefault="004D32A0" w:rsidP="004D32A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= 0%</w:t>
            </w:r>
          </w:p>
          <w:p w:rsidR="004D32A0" w:rsidRPr="00631B9B" w:rsidRDefault="004D32A0" w:rsidP="004D32A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0,5, если 0%&lt;P&lt;= 50%</w:t>
            </w:r>
          </w:p>
          <w:p w:rsidR="004D32A0" w:rsidRPr="00631B9B" w:rsidRDefault="004D32A0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 если P &gt; 50%</w:t>
            </w:r>
          </w:p>
        </w:tc>
        <w:tc>
          <w:tcPr>
            <w:tcW w:w="3294" w:type="dxa"/>
          </w:tcPr>
          <w:p w:rsidR="004D32A0" w:rsidRPr="00631B9B" w:rsidRDefault="004D32A0" w:rsidP="00737EF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Показатель характеризует степень ответственности учреждения за выполнение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задания в соответствии с установленными требованиями Целевым ориентиром является снижение количества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учреждений, к которым применены количественно измеримые финансовые санкции (штрафы, изъятия) за нарушение условий выполнения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заданий, а также соблюдение условий выполнения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заданий в полном объеме</w:t>
            </w:r>
            <w:proofErr w:type="gramEnd"/>
          </w:p>
        </w:tc>
      </w:tr>
      <w:tr w:rsidR="004D32A0" w:rsidRPr="00631B9B" w:rsidTr="00A1488F">
        <w:tc>
          <w:tcPr>
            <w:tcW w:w="3079" w:type="dxa"/>
          </w:tcPr>
          <w:p w:rsidR="004D32A0" w:rsidRPr="00631B9B" w:rsidRDefault="00FA0EDE" w:rsidP="005B05B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</w:t>
            </w:r>
            <w:r w:rsidR="005B05B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5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Доля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услуг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за предоставление которых ответственен ГАБС (учредитель),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оказанных учреждениями, без отклонения от требований к качеству их оказания</w:t>
            </w:r>
          </w:p>
        </w:tc>
        <w:tc>
          <w:tcPr>
            <w:tcW w:w="2983" w:type="dxa"/>
          </w:tcPr>
          <w:p w:rsidR="00FA0EDE" w:rsidRPr="00631B9B" w:rsidRDefault="00FA0EDE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P = 100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x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Ss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/ S, где:</w:t>
            </w:r>
          </w:p>
          <w:p w:rsidR="00FA0EDE" w:rsidRPr="00631B9B" w:rsidRDefault="00FA0EDE" w:rsidP="00C934E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Ss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услуг, оказанных без отклонений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от требований к качеству их оказания;</w:t>
            </w:r>
          </w:p>
          <w:p w:rsidR="004D32A0" w:rsidRPr="00631B9B" w:rsidRDefault="00FA0EDE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S -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услуг</w:t>
            </w:r>
          </w:p>
        </w:tc>
        <w:tc>
          <w:tcPr>
            <w:tcW w:w="992" w:type="dxa"/>
          </w:tcPr>
          <w:p w:rsidR="004D32A0" w:rsidRPr="00631B9B" w:rsidRDefault="00FA0EDE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4D32A0" w:rsidRPr="00631B9B" w:rsidRDefault="00FA0EDE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FA0EDE" w:rsidRPr="00631B9B" w:rsidRDefault="002E114A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E(P)=</w:t>
            </w:r>
            <w:r w:rsidR="00FA0EDE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1, если P = 100%</w:t>
            </w:r>
          </w:p>
          <w:p w:rsidR="004D32A0" w:rsidRPr="00631B9B" w:rsidRDefault="002E114A" w:rsidP="002E114A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</w:t>
            </w:r>
            <w:r w:rsidR="00FA0EDE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=0,5, если 100%&gt;P &gt;=50%</w:t>
            </w:r>
          </w:p>
          <w:p w:rsidR="00FA0EDE" w:rsidRPr="00631B9B" w:rsidRDefault="002E114A" w:rsidP="009073A5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</w:t>
            </w:r>
            <w:r w:rsidR="00FA0EDE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=0, если P&lt;50% </w:t>
            </w:r>
          </w:p>
        </w:tc>
        <w:tc>
          <w:tcPr>
            <w:tcW w:w="3294" w:type="dxa"/>
          </w:tcPr>
          <w:p w:rsidR="004D32A0" w:rsidRPr="00631B9B" w:rsidRDefault="00FA0EDE" w:rsidP="00FA0EDE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Показатель характеризует степень</w:t>
            </w:r>
            <w:r w:rsidR="009073A5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выполнения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услуг, за предоставление которых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ответственен ГАБС (учредитель), в соответствии с требованиями к качеству их оказания Целевым ориентиром является установление требований к качеству выполнения всех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услуг в соответствии с требованиями качества</w:t>
            </w:r>
          </w:p>
        </w:tc>
      </w:tr>
      <w:tr w:rsidR="00FA0EDE" w:rsidRPr="00631B9B" w:rsidTr="00A1488F">
        <w:tc>
          <w:tcPr>
            <w:tcW w:w="3079" w:type="dxa"/>
          </w:tcPr>
          <w:p w:rsidR="00FA0EDE" w:rsidRPr="00631B9B" w:rsidRDefault="00FA0EDE" w:rsidP="005B05BF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1.</w:t>
            </w:r>
            <w:r w:rsidR="005B05B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6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Доля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в отношении которых исполнительный орган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власти 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города Боготола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осуществляет функции и полномочия учредителя (далее –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бюджетные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автономные учреждения), выполнивших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задание на 100% в отчетном финансовом году</w:t>
            </w:r>
          </w:p>
        </w:tc>
        <w:tc>
          <w:tcPr>
            <w:tcW w:w="2983" w:type="dxa"/>
          </w:tcPr>
          <w:p w:rsidR="00FA0EDE" w:rsidRPr="00631B9B" w:rsidRDefault="00FA0EDE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="004850F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="004850F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S</w:t>
            </w:r>
            <w:r w:rsidR="004850F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g</w:t>
            </w:r>
            <w:r w:rsidR="004850F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/ S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,</w:t>
            </w:r>
          </w:p>
          <w:p w:rsidR="00FA0EDE" w:rsidRPr="00631B9B" w:rsidRDefault="00FA0EDE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FA0EDE" w:rsidRPr="00631B9B" w:rsidRDefault="00FA0EDE" w:rsidP="004850F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Sg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выполнивших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задание на 100% в отчетном финансовом году;</w:t>
            </w:r>
          </w:p>
          <w:p w:rsidR="00FA0EDE" w:rsidRPr="00631B9B" w:rsidRDefault="00FA0EDE" w:rsidP="004850F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S -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которым установлены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задания в отчетном финансовом году</w:t>
            </w:r>
          </w:p>
        </w:tc>
        <w:tc>
          <w:tcPr>
            <w:tcW w:w="992" w:type="dxa"/>
          </w:tcPr>
          <w:p w:rsidR="00FA0EDE" w:rsidRPr="00631B9B" w:rsidRDefault="00FA0EDE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%</w:t>
            </w:r>
          </w:p>
        </w:tc>
        <w:tc>
          <w:tcPr>
            <w:tcW w:w="1134" w:type="dxa"/>
          </w:tcPr>
          <w:p w:rsidR="00FA0EDE" w:rsidRPr="00631B9B" w:rsidRDefault="00FA0EDE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260" w:type="dxa"/>
          </w:tcPr>
          <w:p w:rsidR="00FA0EDE" w:rsidRPr="00631B9B" w:rsidRDefault="00FA0EDE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Р)= 1, если Р = 100%</w:t>
            </w:r>
          </w:p>
          <w:p w:rsidR="00FA0EDE" w:rsidRPr="00631B9B" w:rsidRDefault="00FA0EDE" w:rsidP="004850F6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Р)=0,7, если 100%&gt;Р &gt;=90%</w:t>
            </w:r>
          </w:p>
          <w:p w:rsidR="00FA0EDE" w:rsidRPr="00631B9B" w:rsidRDefault="00FA0EDE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Р)= 0,5, если 90%&gt;Р&gt;=80%</w:t>
            </w:r>
          </w:p>
          <w:p w:rsidR="00FA0EDE" w:rsidRPr="00631B9B" w:rsidRDefault="00FA0EDE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&lt; 80%</w:t>
            </w:r>
          </w:p>
        </w:tc>
        <w:tc>
          <w:tcPr>
            <w:tcW w:w="3294" w:type="dxa"/>
          </w:tcPr>
          <w:p w:rsidR="00FA0EDE" w:rsidRPr="00631B9B" w:rsidRDefault="00FA0EDE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Показатель отражает степень выполнения установленных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заданий</w:t>
            </w:r>
          </w:p>
        </w:tc>
      </w:tr>
      <w:tr w:rsidR="00DF38DB" w:rsidRPr="00631B9B" w:rsidTr="00A1488F">
        <w:tc>
          <w:tcPr>
            <w:tcW w:w="3079" w:type="dxa"/>
          </w:tcPr>
          <w:p w:rsidR="00DF38DB" w:rsidRPr="00631B9B" w:rsidRDefault="00DF38DB" w:rsidP="005B05B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</w:t>
            </w:r>
            <w:r w:rsidR="005B05B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Качество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подготовки проектов паспортов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программ 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города</w:t>
            </w:r>
            <w:proofErr w:type="gramEnd"/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Боготола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, представляемых в составе материалов и документов к проекту бюджета, рассматриваемого </w:t>
            </w:r>
            <w:proofErr w:type="spellStart"/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Боготольским</w:t>
            </w:r>
            <w:proofErr w:type="spellEnd"/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городским Советом депутатов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 1 чтении на очередной год и на плановый период</w:t>
            </w:r>
          </w:p>
        </w:tc>
        <w:tc>
          <w:tcPr>
            <w:tcW w:w="2983" w:type="dxa"/>
          </w:tcPr>
          <w:p w:rsidR="00DF38DB" w:rsidRPr="00631B9B" w:rsidRDefault="00DF38DB" w:rsidP="00DF38D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1 при полном соответствии объемов бюджетных ассигнований,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предусмотренных паспортом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программы, объемам бюджетных ассигнований, предусмотренных проектом бюджета 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города Боготола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 очередной год и на плановый период,</w:t>
            </w:r>
          </w:p>
          <w:p w:rsidR="00DF38DB" w:rsidRPr="00631B9B" w:rsidRDefault="00DF38DB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 при несоответствии объемов бюджетных ассигнований, предусмотренных паспортом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программы, объемам бюджетных ассигнований, предусмотренных проектом бюджета </w:t>
            </w:r>
            <w:r w:rsidR="00237521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города Боготола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 очередной год и на плановый период</w:t>
            </w:r>
          </w:p>
        </w:tc>
        <w:tc>
          <w:tcPr>
            <w:tcW w:w="992" w:type="dxa"/>
          </w:tcPr>
          <w:p w:rsidR="00DF38DB" w:rsidRPr="00631B9B" w:rsidRDefault="00DF38D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DF38DB" w:rsidRPr="00631B9B" w:rsidRDefault="00DF38D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DF38DB" w:rsidRPr="00631B9B" w:rsidRDefault="00DF38DB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Р</w:t>
            </w:r>
          </w:p>
        </w:tc>
        <w:tc>
          <w:tcPr>
            <w:tcW w:w="3294" w:type="dxa"/>
          </w:tcPr>
          <w:p w:rsidR="00DF38DB" w:rsidRPr="00631B9B" w:rsidRDefault="00DF38DB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Показатель характеризует соответствие объемов бюджетных ассигнований,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предусмотренных паспортом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муниципальной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программы, объемам бюджетных ассигнований, предусмотренных проектом бюджета </w:t>
            </w:r>
            <w:r w:rsidR="00237521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города Боготола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 очередной год и на плановый период</w:t>
            </w:r>
          </w:p>
        </w:tc>
      </w:tr>
      <w:tr w:rsidR="00DF38DB" w:rsidRPr="00631B9B" w:rsidTr="002E114A">
        <w:tc>
          <w:tcPr>
            <w:tcW w:w="7054" w:type="dxa"/>
            <w:gridSpan w:val="3"/>
          </w:tcPr>
          <w:p w:rsidR="00DF38DB" w:rsidRPr="00631B9B" w:rsidRDefault="00DF38DB" w:rsidP="00DF38D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2. Исполнение бюджета </w:t>
            </w:r>
          </w:p>
        </w:tc>
        <w:tc>
          <w:tcPr>
            <w:tcW w:w="1134" w:type="dxa"/>
          </w:tcPr>
          <w:p w:rsidR="00DF38DB" w:rsidRPr="00631B9B" w:rsidRDefault="00DF38DB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DF38DB" w:rsidRPr="00631B9B" w:rsidRDefault="00DF38DB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DF38DB" w:rsidRPr="00631B9B" w:rsidRDefault="00DF38DB" w:rsidP="00DF38D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DF38DB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2.1. Равномерность расходов</w:t>
            </w:r>
          </w:p>
        </w:tc>
        <w:tc>
          <w:tcPr>
            <w:tcW w:w="2983" w:type="dxa"/>
          </w:tcPr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(E - </w:t>
            </w:r>
            <w:proofErr w:type="spellStart"/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ср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x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100 /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Eср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 - объем кассовых расходов за IV квартал отчетного года (за исключением расходов за счет безвозмездных поступлений);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ср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средний объем кассовых расходов за I - III квартал отчетного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периода (за исключением расходов за счет безвозмездных поступлений) 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4850F6" w:rsidRPr="00631B9B" w:rsidRDefault="004850F6" w:rsidP="00EA2B8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  <w:p w:rsidR="004850F6" w:rsidRPr="00631B9B" w:rsidRDefault="00C620B1" w:rsidP="004850F6">
            <w:pPr>
              <w:autoSpaceDE w:val="0"/>
              <w:autoSpaceDN w:val="0"/>
              <w:adjustRightInd w:val="0"/>
              <w:ind w:firstLine="743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Cs/>
                <w:noProof/>
                <w:sz w:val="24"/>
                <w:szCs w:val="24"/>
                <w:lang w:eastAsia="ru-RU"/>
              </w:rPr>
              <w:pict>
                <v:shape id="_x0000_s1027" type="#_x0000_t87" style="position:absolute;left:0;text-align:left;margin-left:30.75pt;margin-top:1.95pt;width:7.15pt;height:46.4pt;z-index:251660288"/>
              </w:pict>
            </w:r>
            <w:r w:rsidR="004850F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1, если </w:t>
            </w:r>
            <w:proofErr w:type="gramStart"/>
            <w:r w:rsidR="004850F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="004850F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≤50%</w:t>
            </w:r>
          </w:p>
          <w:p w:rsidR="004850F6" w:rsidRPr="00631B9B" w:rsidRDefault="004850F6" w:rsidP="00EA2B8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(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P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)=   1- </w:t>
            </w:r>
            <m:oMath>
              <m:f>
                <m:fPr>
                  <m:ctrlPr>
                    <w:rPr>
                      <w:rFonts w:ascii="Cambria Math" w:eastAsia="TimesNewRomanPSMT" w:hAnsi="Cambria Math" w:cs="Times New Roman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NewRomanPSMT" w:hAnsi="Cambria Math" w:cs="Times New Roman"/>
                      <w:sz w:val="24"/>
                      <w:szCs w:val="24"/>
                    </w:rPr>
                    <m:t>Р-50</m:t>
                  </m:r>
                </m:num>
                <m:den>
                  <m:r>
                    <w:rPr>
                      <w:rFonts w:ascii="Cambria Math" w:eastAsia="TimesNewRomanPSMT" w:hAnsi="Cambria Math" w:cs="Times New Roman"/>
                      <w:sz w:val="24"/>
                      <w:szCs w:val="24"/>
                    </w:rPr>
                    <m:t>50</m:t>
                  </m:r>
                </m:den>
              </m:f>
            </m:oMath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если 50</w:t>
            </w:r>
          </w:p>
          <w:p w:rsidR="004850F6" w:rsidRPr="00631B9B" w:rsidRDefault="004850F6" w:rsidP="004850F6">
            <w:pPr>
              <w:autoSpaceDE w:val="0"/>
              <w:autoSpaceDN w:val="0"/>
              <w:adjustRightInd w:val="0"/>
              <w:ind w:firstLine="743"/>
              <w:rPr>
                <w:rFonts w:ascii="Times New Roman" w:eastAsia="TimesNewRomanPSMT" w:hAnsi="Times New Roman" w:cs="Times New Roman"/>
                <w:bCs/>
                <w:i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0, если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&gt;100</w:t>
            </w:r>
          </w:p>
        </w:tc>
        <w:tc>
          <w:tcPr>
            <w:tcW w:w="3294" w:type="dxa"/>
          </w:tcPr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Показатель отражает равномерность расходов ГАБС в отчетном финансовом году.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Целевым ориентиром для ГАБС является значение показателя, при котором кассовые расходы в четвертом квартале достигают менее трети годовых расходов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FC77C7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2.2. Отклонение от плана фактических поступлений налоговых и неналоговых доходов за отчетный период</w:t>
            </w:r>
          </w:p>
        </w:tc>
        <w:tc>
          <w:tcPr>
            <w:tcW w:w="2983" w:type="dxa"/>
          </w:tcPr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="001E1FE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[</w:t>
            </w:r>
            <m:oMath>
              <m:f>
                <m:fPr>
                  <m:ctrlPr>
                    <w:rPr>
                      <w:rFonts w:ascii="Cambria Math" w:eastAsia="TimesNewRomanPSMT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NewRomanPSMT" w:hAnsi="Cambria Math" w:cs="Times New Roman"/>
                      <w:sz w:val="24"/>
                      <w:szCs w:val="24"/>
                    </w:rPr>
                    <m:t>F - 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NewRomanPSMT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den>
              </m:f>
            </m:oMath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], где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K где: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K - кассовый план по налоговым и неналоговым доходам главного администратора доходов бюджета города Боготола (далее -</w:t>
            </w:r>
            <w:proofErr w:type="gramEnd"/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ГАДБ), за отчетный год;</w:t>
            </w:r>
            <w:proofErr w:type="gramEnd"/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F - кассовое исполнение по налоговым и неналоговым доходам ГАДБ за отчетный год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3260" w:type="dxa"/>
          </w:tcPr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E(P)=</w:t>
            </w:r>
            <w:r w:rsidR="001E1FE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1, если P&lt;=10% и F&gt;K;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Е(P) = 1 </w:t>
            </w:r>
            <w:r w:rsidR="001E1FE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–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NewRomanPSMT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NewRomanPSMT" w:hAnsi="Cambria Math" w:cs="Times New Roman"/>
                      <w:sz w:val="24"/>
                      <w:szCs w:val="24"/>
                    </w:rPr>
                    <m:t>P-10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NewRomanPSMT" w:hAnsi="Cambria Math" w:cs="Times New Roman"/>
                      <w:sz w:val="24"/>
                      <w:szCs w:val="24"/>
                    </w:rPr>
                    <m:t>10</m:t>
                  </m:r>
                </m:den>
              </m:f>
            </m:oMath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если</w:t>
            </w:r>
            <w:r w:rsidR="001E1FE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10% &lt;=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&lt;= 20%;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и F &gt; K;</w:t>
            </w:r>
          </w:p>
          <w:p w:rsidR="001E1FEC" w:rsidRPr="00631B9B" w:rsidRDefault="001E1FEC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Е(P) = 1 </w:t>
            </w:r>
            <w:r w:rsidR="001E1FE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–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="001E1FE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/100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, если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&lt;= 20% и F &lt; K;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 если P &gt; 20%.</w:t>
            </w:r>
          </w:p>
          <w:p w:rsidR="004850F6" w:rsidRPr="00631B9B" w:rsidRDefault="004850F6" w:rsidP="00FA0ED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Негативно расценивается как недовыполнение плана поступлений налоговых и неналоговых доходов, так и значительное перевыполнение.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Показатель анализируется для ГАДБ, доходные источники по которому определены в кассовом плане поступлений доходов на текущий финансовый год на основании предоставляемых ГАДБ справок о помесячном распределении доходов.</w:t>
            </w:r>
          </w:p>
          <w:p w:rsidR="004850F6" w:rsidRPr="00631B9B" w:rsidRDefault="004850F6" w:rsidP="00FC77C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Целевым ориентиром для ГАДБ является выполнение плана, не превосходящее 10%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1E1FEC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2.3. Эффективность управления дебиторской задолженностью по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администрируемым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налоговым и неналоговым доходам</w:t>
            </w:r>
          </w:p>
        </w:tc>
        <w:tc>
          <w:tcPr>
            <w:tcW w:w="2983" w:type="dxa"/>
          </w:tcPr>
          <w:p w:rsidR="004850F6" w:rsidRPr="00631B9B" w:rsidRDefault="004850F6" w:rsidP="00CF48D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="001E1FE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="009B458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D / F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</w:t>
            </w:r>
          </w:p>
          <w:p w:rsidR="004850F6" w:rsidRPr="00631B9B" w:rsidRDefault="004850F6" w:rsidP="00CF48D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4850F6" w:rsidRPr="00631B9B" w:rsidRDefault="004850F6" w:rsidP="00CF48D4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D - объем дебиторской задолженности ГАДБ по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администрируемым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налоговым и неналоговым доходам по состоянию на 1 января года, следующего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отчетным;</w:t>
            </w:r>
          </w:p>
          <w:p w:rsidR="004850F6" w:rsidRPr="00631B9B" w:rsidRDefault="004850F6" w:rsidP="00DE490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F - кассовое исполнение по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администрируемым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налоговым и неналоговым доходам ГАДБ в отчетном финансовом году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260" w:type="dxa"/>
          </w:tcPr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(P) = 1 </w:t>
            </w:r>
            <w:r w:rsidR="009B458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– P/100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если</w:t>
            </w:r>
          </w:p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P &lt;= 50%;</w:t>
            </w:r>
          </w:p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E(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P) = 0,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если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P &gt; 50%.</w:t>
            </w:r>
          </w:p>
        </w:tc>
        <w:tc>
          <w:tcPr>
            <w:tcW w:w="3294" w:type="dxa"/>
          </w:tcPr>
          <w:p w:rsidR="004850F6" w:rsidRPr="00631B9B" w:rsidRDefault="004850F6" w:rsidP="00DE490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Негативным считается факт накопления значительного объема дебиторской задолженности по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администрируемым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налоговым и неналоговым доходам по состоянию на 1 января года, следующего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отчетным, по отношению к кассовому исполнению по налоговым и неналоговым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доходам  в отчетном финансовом году.</w:t>
            </w:r>
          </w:p>
          <w:p w:rsidR="004850F6" w:rsidRPr="00631B9B" w:rsidRDefault="004850F6" w:rsidP="00DE490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Целевым ориентиром для ГАДБ является значение показателя, равное 0%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DE490C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2.4. Количество обращений об изменении кодов бюджетной классификации при кассовом исполнении бюджета</w:t>
            </w:r>
          </w:p>
        </w:tc>
        <w:tc>
          <w:tcPr>
            <w:tcW w:w="2983" w:type="dxa"/>
          </w:tcPr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x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C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C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n-1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) / C</w:t>
            </w:r>
            <w:r w:rsidRPr="00063A8C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n-1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где:</w:t>
            </w:r>
          </w:p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C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число обращений об изменении кодов бюджетной классификации при кассовом исполнении бюджета, поступивших от ГАБС по состоянию на 1 января года, следующего за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отчетным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; </w:t>
            </w:r>
          </w:p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C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 xml:space="preserve">n-1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- число обращений об изменении кодов бюджетной классификации при кассовом исполнении бюджета, поступивших от ГАБС по состоянию на 1 января отчетного года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&lt; -5% или если</w:t>
            </w:r>
            <w:r w:rsidR="00FB0BF3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С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n</w:t>
            </w:r>
            <w:proofErr w:type="spellEnd"/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</w:t>
            </w:r>
          </w:p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0,5, если 0 &gt; P &gt;= -5%</w:t>
            </w:r>
          </w:p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 если P &gt;= 0</w:t>
            </w:r>
          </w:p>
        </w:tc>
        <w:tc>
          <w:tcPr>
            <w:tcW w:w="3294" w:type="dxa"/>
          </w:tcPr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Положительно расценивается снижение числа обращений об изменении кодов бюджетной классификации при кассовом исполнении бюджета в течение отчетного года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BA189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2.5. Количество платежных поручений, отклоненных из-за несоответствия требованиям действующих нормативно-правовых актов или необоснованности заявленных к оплате сумм</w:t>
            </w:r>
          </w:p>
        </w:tc>
        <w:tc>
          <w:tcPr>
            <w:tcW w:w="2983" w:type="dxa"/>
          </w:tcPr>
          <w:p w:rsidR="004850F6" w:rsidRPr="00631B9B" w:rsidRDefault="004850F6" w:rsidP="00BA189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- количество платежных поручений, представленных ГАБС и отклоненных из-за несоответствия требованиям действующих нормативно- правовых актов или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необоснованности заявленных к оплате сумм в отчетном финансовом году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4850F6" w:rsidRPr="00631B9B" w:rsidRDefault="004850F6" w:rsidP="00BA189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= 0;</w:t>
            </w:r>
          </w:p>
          <w:p w:rsidR="004850F6" w:rsidRPr="00631B9B" w:rsidRDefault="004850F6" w:rsidP="00DE490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 если P &gt; 0.</w:t>
            </w:r>
          </w:p>
        </w:tc>
        <w:tc>
          <w:tcPr>
            <w:tcW w:w="3294" w:type="dxa"/>
          </w:tcPr>
          <w:p w:rsidR="004850F6" w:rsidRPr="00631B9B" w:rsidRDefault="004850F6" w:rsidP="00BA189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Целевым значением является отсутствие платежных поручений, не соответствующих требованиям действующих нормативно-правовых актов, или содержащие необоснованно заявленные к оплате суммы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440A2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2.6. Количество возвращенных кредитными организациями платежных документов в связи с неверно указанными реквизитами</w:t>
            </w:r>
          </w:p>
        </w:tc>
        <w:tc>
          <w:tcPr>
            <w:tcW w:w="2983" w:type="dxa"/>
          </w:tcPr>
          <w:p w:rsidR="004850F6" w:rsidRPr="00631B9B" w:rsidRDefault="004850F6" w:rsidP="00BA189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x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n-1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) / 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n-1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где:</w:t>
            </w:r>
          </w:p>
          <w:p w:rsidR="004850F6" w:rsidRPr="00631B9B" w:rsidRDefault="004850F6" w:rsidP="00BA189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возвращенных кредитными организациями платежных документов ГАБС в связи с неверно указанными реквизитами по состоянию на 1 января года, следующего за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отчетным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;</w:t>
            </w:r>
          </w:p>
          <w:p w:rsidR="004850F6" w:rsidRPr="00631B9B" w:rsidRDefault="004850F6" w:rsidP="00FB0BF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 xml:space="preserve">n-1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- количество возвращенных кредитными  организациями платежных документов ГАБС в связи с неверно указанными реквизитами по состоянию на 1 января отчетного года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4850F6" w:rsidRPr="00631B9B" w:rsidRDefault="004850F6" w:rsidP="00A65F2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&lt; -5% или если</w:t>
            </w:r>
            <w:r w:rsidR="00FB0BF3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Cn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</w:t>
            </w:r>
          </w:p>
          <w:p w:rsidR="004850F6" w:rsidRPr="00631B9B" w:rsidRDefault="004850F6" w:rsidP="00A65F2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0,5, если 0 &gt; P &gt;= -5%</w:t>
            </w:r>
          </w:p>
          <w:p w:rsidR="004850F6" w:rsidRPr="00631B9B" w:rsidRDefault="004850F6" w:rsidP="00A65F2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 если P &gt;= 0</w:t>
            </w:r>
          </w:p>
        </w:tc>
        <w:tc>
          <w:tcPr>
            <w:tcW w:w="3294" w:type="dxa"/>
          </w:tcPr>
          <w:p w:rsidR="004850F6" w:rsidRPr="00631B9B" w:rsidRDefault="004850F6" w:rsidP="00A65F2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Положительно расценивается снижение числа количества возвращенных кредитными организациями платежных документов в связи с неверно указанными реквизитами в течение отчетного года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2.7. Количество неклассифицированных поступлений от поставщиков ГАБС в связи с неверно указанными реквизитами</w:t>
            </w:r>
          </w:p>
        </w:tc>
        <w:tc>
          <w:tcPr>
            <w:tcW w:w="2983" w:type="dxa"/>
          </w:tcPr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x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n-1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) / 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n-1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где:</w:t>
            </w:r>
          </w:p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>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– количество неклассифицированных поступлений от поставщиков ГАБС в связи с неверно указанными реквизитами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по состоянию на 1 января года, следующего за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отчетным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;</w:t>
            </w:r>
          </w:p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vertAlign w:val="subscript"/>
              </w:rPr>
              <w:t xml:space="preserve">n-1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– количество неклассифицированных поступлений от поставщиков ГАБС в связи с неверно указанными реквизитами по состоянию на 1 января отчетного года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&lt; -15% или если</w:t>
            </w:r>
            <w:r w:rsidR="00FE7FE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Cn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</w:t>
            </w:r>
          </w:p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0,5, если 0&gt;P&gt;= -15%</w:t>
            </w:r>
          </w:p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 если P &gt;= 0</w:t>
            </w:r>
          </w:p>
          <w:p w:rsidR="004850F6" w:rsidRPr="00631B9B" w:rsidRDefault="004850F6" w:rsidP="00A65F2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Положительно расценивается сокращение числа неклассифицированных поступлений от поставщиков в связи с неверно указанными реквизитами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2.8. Своевременность принятия бюджетных обязательств на закупку товаров, работ и услуг</w:t>
            </w:r>
          </w:p>
        </w:tc>
        <w:tc>
          <w:tcPr>
            <w:tcW w:w="2983" w:type="dxa"/>
          </w:tcPr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* </w:t>
            </w:r>
            <m:oMath>
              <m:f>
                <m:fPr>
                  <m:ctrlPr>
                    <w:rPr>
                      <w:rFonts w:ascii="Cambria Math" w:eastAsia="TimesNewRomanPSMT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NewRomanPSMT" w:hAnsi="Cambria Math" w:cs="Times New Roman"/>
                      <w:sz w:val="24"/>
                      <w:szCs w:val="24"/>
                    </w:rPr>
                    <m:t>L - E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NewRomanPSMT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den>
              </m:f>
            </m:oMath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</w:t>
            </w:r>
          </w:p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4850F6" w:rsidRPr="00631B9B" w:rsidRDefault="004850F6" w:rsidP="00440A25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L - объем контрактуемых лимитов бюджетных обязательств, доведенных в отчетном финансовом году до ГАБС;</w:t>
            </w:r>
          </w:p>
          <w:p w:rsidR="004850F6" w:rsidRPr="00631B9B" w:rsidRDefault="004850F6" w:rsidP="00440A25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 - объем принятых бюджетных обязательств ГАБС в отчетном финансовом году на поставки товаров, оказание услуг, выполнение работ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4850F6" w:rsidRPr="00631B9B" w:rsidRDefault="004850F6" w:rsidP="00C930B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= 0%</w:t>
            </w:r>
          </w:p>
          <w:p w:rsidR="004850F6" w:rsidRPr="00631B9B" w:rsidRDefault="004850F6" w:rsidP="00C930B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Р)=0,5, если 0%&lt;Р &lt;= 0,5%</w:t>
            </w:r>
          </w:p>
          <w:p w:rsidR="004850F6" w:rsidRPr="00631B9B" w:rsidRDefault="004850F6" w:rsidP="00C930B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&gt; 0,5%</w:t>
            </w:r>
          </w:p>
          <w:p w:rsidR="004850F6" w:rsidRPr="00631B9B" w:rsidRDefault="004850F6" w:rsidP="00440A2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C930B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Показатель отражает риски неиспользования бюджетных ассигнований в текущем финансовом году в связи с несвоевременным заключением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контрактов на поставки товаров, оказание услуг, выполнение работ. Целевым ориентиром для ГАБС является значение показателя, равное нулю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C930B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2.9. Уровень исполнения расходов ГАБС, источником финансового обеспечения которых являются межбюджетные трансферты из краевого бюджета</w:t>
            </w:r>
          </w:p>
        </w:tc>
        <w:tc>
          <w:tcPr>
            <w:tcW w:w="2983" w:type="dxa"/>
          </w:tcPr>
          <w:p w:rsidR="004850F6" w:rsidRPr="00631B9B" w:rsidRDefault="004850F6" w:rsidP="007D04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P = 100</w:t>
            </w:r>
            <w:r w:rsidR="00EA6A1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A6A1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="00EA6A1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A6A1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Кр</w:t>
            </w:r>
            <w:proofErr w:type="spellEnd"/>
            <w:r w:rsidR="00EA6A1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/ </w:t>
            </w:r>
            <w:r w:rsidR="00EA6A1F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</w:t>
            </w:r>
          </w:p>
          <w:p w:rsidR="004850F6" w:rsidRPr="00631B9B" w:rsidRDefault="004850F6" w:rsidP="007D04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4850F6" w:rsidRPr="00631B9B" w:rsidRDefault="004850F6" w:rsidP="007D041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Кр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кассовые расходы ГАБС за счет целевых сре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дств </w:t>
            </w:r>
            <w:r w:rsidR="00E77AB2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кр</w:t>
            </w:r>
            <w:proofErr w:type="gramEnd"/>
            <w:r w:rsidR="00E77AB2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аевого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бюджета в отчетном финансовом году;</w:t>
            </w:r>
          </w:p>
          <w:p w:rsidR="004850F6" w:rsidRPr="00631B9B" w:rsidRDefault="004850F6" w:rsidP="00E77AB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 - уточненные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бюджетные ассигнования, источником финансового обеспечения которых являются целевые межбюджетные трансферты из </w:t>
            </w:r>
            <w:r w:rsidR="00E77AB2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краевого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бюджета в отчетном финансовом году.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260" w:type="dxa"/>
          </w:tcPr>
          <w:p w:rsidR="004850F6" w:rsidRPr="00631B9B" w:rsidRDefault="004850F6" w:rsidP="001D325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= 100%</w:t>
            </w:r>
          </w:p>
          <w:p w:rsidR="004850F6" w:rsidRPr="00631B9B" w:rsidRDefault="004850F6" w:rsidP="00EA6A1F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Р)= 0,8, если 98%&lt;=Р&lt;100%</w:t>
            </w:r>
          </w:p>
          <w:p w:rsidR="004850F6" w:rsidRPr="00631B9B" w:rsidRDefault="004850F6" w:rsidP="001D325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Р)=0,6, если 95%&lt;=Р&lt; 98%</w:t>
            </w:r>
          </w:p>
          <w:p w:rsidR="004850F6" w:rsidRPr="00631B9B" w:rsidRDefault="004850F6" w:rsidP="001D325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Р)=0,4, если 90%&lt;=Р&lt; 95%</w:t>
            </w:r>
          </w:p>
          <w:p w:rsidR="004850F6" w:rsidRPr="00631B9B" w:rsidRDefault="004850F6" w:rsidP="001D325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&lt; 90%</w:t>
            </w:r>
          </w:p>
          <w:p w:rsidR="004850F6" w:rsidRPr="00631B9B" w:rsidRDefault="004850F6" w:rsidP="00C930B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1D325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Показатель отражает риски неиспользования бюджетных ассигнований, источником финансового обеспечения которых являются межбюджетные трансферты из </w:t>
            </w:r>
            <w:r w:rsidR="00E77AB2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краевого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бюджета.</w:t>
            </w:r>
          </w:p>
          <w:p w:rsidR="004850F6" w:rsidRPr="00631B9B" w:rsidRDefault="004850F6" w:rsidP="001D325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Целевым ориентиром для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ГАБС является значение показателя, равное 100%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2.10. Прирост объема доходов от платных услуг и иной приносящей доход деятельности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автономных учреждений</w:t>
            </w:r>
          </w:p>
        </w:tc>
        <w:tc>
          <w:tcPr>
            <w:tcW w:w="2983" w:type="dxa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(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Dо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/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Dрd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)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x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100, где: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объем доходов от платных услуг и иной приносящей доход деятельности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автономных учреждений за отчетный год;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d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объем доходов от платных услуг и иной приносящей доход деятельности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автономных учреждений за год, предшествующий отчетному.</w:t>
            </w:r>
          </w:p>
          <w:p w:rsidR="004850F6" w:rsidRPr="00631B9B" w:rsidRDefault="004850F6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При реорганизации (ликвидации)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бюджетного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автономного учреждения объем доходов от платных услуг и иной приносящей доход деятельности в отчетном и предшествующем отчетному году периоде по этому учреждению в общем объеме доходов по ГАБС не учитывается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260" w:type="dxa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&gt;= 105;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0,7, если 105&lt;Р&lt;= 100;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0,5, если 100&lt; Р &lt;= 95;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&lt; 95</w:t>
            </w:r>
          </w:p>
          <w:p w:rsidR="004850F6" w:rsidRPr="00631B9B" w:rsidRDefault="004850F6" w:rsidP="001D325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Позитивно расценивается рост доходов от платных услуг и иной приносящей доход деятельности</w:t>
            </w:r>
          </w:p>
        </w:tc>
      </w:tr>
      <w:tr w:rsidR="004850F6" w:rsidRPr="00631B9B" w:rsidTr="002E114A">
        <w:tc>
          <w:tcPr>
            <w:tcW w:w="7054" w:type="dxa"/>
            <w:gridSpan w:val="3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3. Эффективность управления кредиторской задолженностью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3260" w:type="dxa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3.1. Доля просроченной кредиторской задолженности в расходах ГАБС</w:t>
            </w:r>
          </w:p>
        </w:tc>
        <w:tc>
          <w:tcPr>
            <w:tcW w:w="2983" w:type="dxa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x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K / E, где: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K - объем просроченной кредиторской задолженности на 1 января года, следующего за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отчетным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;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 - кассовое исполнение расходов в отчетном финансовом году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3260" w:type="dxa"/>
          </w:tcPr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= 0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0,5, если 0 &lt; P &lt; 10 %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 если P &gt;= 10 %</w:t>
            </w:r>
          </w:p>
        </w:tc>
        <w:tc>
          <w:tcPr>
            <w:tcW w:w="3294" w:type="dxa"/>
          </w:tcPr>
          <w:p w:rsidR="004850F6" w:rsidRPr="00631B9B" w:rsidRDefault="004850F6" w:rsidP="00704E5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Негативным считается факт наличия объема просроченной кредиторской задолженности по состоянию на 1 января года, следующего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за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отчетным, по отношению к  кассовому исполнению расходов ГАБС в отчетном финансовом году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8061C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3.2. Наличие кредиторской задолженности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 по налогу на доходы физических лиц и обязательным платежам в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внебюджетные фонды за счет средств от приносящей доход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деятельности </w:t>
            </w:r>
          </w:p>
        </w:tc>
        <w:tc>
          <w:tcPr>
            <w:tcW w:w="2983" w:type="dxa"/>
          </w:tcPr>
          <w:p w:rsidR="004850F6" w:rsidRPr="00631B9B" w:rsidRDefault="004850F6" w:rsidP="00704E5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P = 100 </w:t>
            </w:r>
            <w:proofErr w:type="spellStart"/>
            <w:r w:rsidR="004A516E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="004A516E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A516E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Su</w:t>
            </w:r>
            <w:proofErr w:type="spellEnd"/>
            <w:r w:rsidR="004A516E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/ S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,</w:t>
            </w:r>
          </w:p>
          <w:p w:rsidR="004850F6" w:rsidRPr="00631B9B" w:rsidRDefault="004850F6" w:rsidP="00704E5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4850F6" w:rsidRPr="00631B9B" w:rsidRDefault="004850F6" w:rsidP="00704E5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сумма фактически уплаченных платежей по НДФЛ и обязательным платежам в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внебюджетные фонды за счет средств о</w:t>
            </w:r>
            <w:r w:rsidR="008061C4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т приносящей доход деятельности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;</w:t>
            </w:r>
          </w:p>
          <w:p w:rsidR="004850F6" w:rsidRPr="00631B9B" w:rsidRDefault="004850F6" w:rsidP="008061C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S - сумма начисленных к уплате платежей по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НДФЛ и обязательным платежам в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внебюджетные фонды на конец отчетного периода за счет средств от приносящей доход деятельности 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3260" w:type="dxa"/>
          </w:tcPr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= 100%</w:t>
            </w:r>
          </w:p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&lt; 100%</w:t>
            </w:r>
          </w:p>
          <w:p w:rsidR="004850F6" w:rsidRPr="00631B9B" w:rsidRDefault="004850F6" w:rsidP="00C279B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Показатель характеризует степень осуществления контроля ГАБС за исполнением финансово-хозяйственной деятельности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автономных учреждений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8061C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3.3. Доля просроченной кредиторской задолженности в расходах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 за счет средств от приносящей доход деятельности </w:t>
            </w:r>
          </w:p>
        </w:tc>
        <w:tc>
          <w:tcPr>
            <w:tcW w:w="2983" w:type="dxa"/>
          </w:tcPr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100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x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K / E, где:</w:t>
            </w:r>
          </w:p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K - объем просроченной кредиторской задолженности на 1 января года, следующего за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отчетным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за счет средств от приносящей доход деятельности;</w:t>
            </w:r>
          </w:p>
          <w:p w:rsidR="004850F6" w:rsidRPr="00631B9B" w:rsidRDefault="004850F6" w:rsidP="008061C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E - кассовое исполнение расходов в отчетном финансовом году за счет средств от приносящей доход деятельности 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3260" w:type="dxa"/>
          </w:tcPr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= 0</w:t>
            </w:r>
          </w:p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0,5, если 0 &lt;P &lt; 10%</w:t>
            </w:r>
          </w:p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 если P &gt;= 10%</w:t>
            </w:r>
          </w:p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Негативным считается наличие просроченной кредиторской задолженности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бюджетных и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муниципальных автономных учреждений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8061C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3.4. Снижение (рост) просроченной кредиторской задолженности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муниципальных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 в отчетном периоде за счет средств от приносящей доход деятельности </w:t>
            </w:r>
          </w:p>
        </w:tc>
        <w:tc>
          <w:tcPr>
            <w:tcW w:w="2983" w:type="dxa"/>
          </w:tcPr>
          <w:p w:rsidR="004850F6" w:rsidRPr="00631B9B" w:rsidRDefault="004850F6" w:rsidP="00B345D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К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о/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Кн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где:</w:t>
            </w:r>
          </w:p>
          <w:p w:rsidR="004850F6" w:rsidRPr="00631B9B" w:rsidRDefault="004850F6" w:rsidP="00B345D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Ко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– объем просроченной кредиторской задолженности на конец отчетного периода за счет средств от приносящей доход деятельности;</w:t>
            </w:r>
          </w:p>
          <w:p w:rsidR="004850F6" w:rsidRPr="00631B9B" w:rsidRDefault="004850F6" w:rsidP="008061C4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Кн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– объем просроченной кредиторской задолженности на начало отчетного года за счет средств от приносящей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доход деятельности 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3260" w:type="dxa"/>
          </w:tcPr>
          <w:p w:rsidR="004850F6" w:rsidRPr="00631B9B" w:rsidRDefault="004850F6" w:rsidP="00B345D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&lt; 1</w:t>
            </w:r>
          </w:p>
          <w:p w:rsidR="004850F6" w:rsidRPr="00631B9B" w:rsidRDefault="004850F6" w:rsidP="00B345D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0,5, если P = 1</w:t>
            </w:r>
          </w:p>
          <w:p w:rsidR="004850F6" w:rsidRPr="00631B9B" w:rsidRDefault="004850F6" w:rsidP="00B345D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 если P &gt; 1</w:t>
            </w:r>
          </w:p>
          <w:p w:rsidR="004850F6" w:rsidRPr="00631B9B" w:rsidRDefault="004850F6" w:rsidP="00FA1C9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B345D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Положительно расценивается отсутствие просроченной кредиторской задолженности или снижение просроченной кредиторской задолженности</w:t>
            </w:r>
          </w:p>
        </w:tc>
      </w:tr>
      <w:tr w:rsidR="004850F6" w:rsidRPr="00631B9B" w:rsidTr="002E114A">
        <w:tc>
          <w:tcPr>
            <w:tcW w:w="7054" w:type="dxa"/>
            <w:gridSpan w:val="3"/>
          </w:tcPr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4. Внутренний финансовый аудит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260" w:type="dxa"/>
          </w:tcPr>
          <w:p w:rsidR="004850F6" w:rsidRPr="00631B9B" w:rsidRDefault="004850F6" w:rsidP="004A516E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4850F6" w:rsidRPr="00631B9B" w:rsidRDefault="004850F6" w:rsidP="00B345D5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4.1. Качество организации внутреннего финансового аудита</w:t>
            </w:r>
          </w:p>
        </w:tc>
        <w:tc>
          <w:tcPr>
            <w:tcW w:w="2983" w:type="dxa"/>
          </w:tcPr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Соответствие ведомственного (внутреннего) акта главного администратора бюджетных средств, обеспечивающего осуществление внутреннего финансового аудита, требованиям к  организации внутреннего финансового аудита, установленным федеральными стандартами внутреннего финансового аудита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3260" w:type="dxa"/>
          </w:tcPr>
          <w:p w:rsidR="00100A73" w:rsidRDefault="003B04E0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>
              <w:object w:dxaOrig="2616" w:dyaOrig="12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.8pt;height:37.95pt" o:ole="">
                  <v:imagedata r:id="rId11" o:title="" cropbottom="10554f" cropright="11501f"/>
                </v:shape>
                <o:OLEObject Type="Embed" ProgID="PBrush" ShapeID="_x0000_i1025" DrawAspect="Content" ObjectID="_1643203354" r:id="rId12"/>
              </w:objec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требований к организации внутреннего финансового аудита, установленных федеральными стандартами;</w: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ei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1, если правовой акт главного администратора соответствует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i-му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требованию к организации внутреннего финансового аудита;</w: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ei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0, если правовой акт главного администратора не соответствует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i-му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требованию к организации внутреннего финансового аудита</w:t>
            </w:r>
          </w:p>
        </w:tc>
        <w:tc>
          <w:tcPr>
            <w:tcW w:w="3294" w:type="dxa"/>
          </w:tcPr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Выполнение установленных требований к организации внутреннего финансового аудита является положительным фактором, способствующим повышению качества финансового менеджмента. Показатель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рассчитывается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ежегодно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4.2. Качество планирования внутреннего финансового аудита</w:t>
            </w:r>
          </w:p>
        </w:tc>
        <w:tc>
          <w:tcPr>
            <w:tcW w:w="2983" w:type="dxa"/>
          </w:tcPr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Соответствие процедур планирования внутреннего финансового аудита требованиям к указанным  процедурам, установленным федеральным стандартом внутреннего финансового аудита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3260" w:type="dxa"/>
          </w:tcPr>
          <w:p w:rsidR="00100A73" w:rsidRDefault="003B04E0" w:rsidP="00B10ADD">
            <w:pPr>
              <w:autoSpaceDE w:val="0"/>
              <w:autoSpaceDN w:val="0"/>
              <w:adjustRightInd w:val="0"/>
              <w:jc w:val="both"/>
            </w:pPr>
            <w:r>
              <w:object w:dxaOrig="2616" w:dyaOrig="1248">
                <v:shape id="_x0000_i1026" type="#_x0000_t75" style="width:98.25pt;height:47.7pt" o:ole="">
                  <v:imagedata r:id="rId11" o:title=""/>
                </v:shape>
                <o:OLEObject Type="Embed" ProgID="PBrush" ShapeID="_x0000_i1026" DrawAspect="Content" ObjectID="_1643203355" r:id="rId13"/>
              </w:objec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требований к планированию внутреннего финансового аудита, установленных федеральным стандартом внутреннего финансового аудита;</w: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ei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1, если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i-e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требование выполнено полностью;</w: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ei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0,5, если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i-e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требование выполнено частично;</w: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ei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0, если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i-e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требование не выполнено</w:t>
            </w:r>
          </w:p>
        </w:tc>
        <w:tc>
          <w:tcPr>
            <w:tcW w:w="3294" w:type="dxa"/>
          </w:tcPr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Выполнение требований к планированию внутреннего финансового аудита является положительным фактором, способствующим повышению качества финансового менеджмента.</w: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Целевым ориентиром для главного администратора является полное выполнение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указанных требований.</w:t>
            </w:r>
          </w:p>
          <w:p w:rsidR="004850F6" w:rsidRPr="00631B9B" w:rsidRDefault="004850F6" w:rsidP="00B10AD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Показатель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рассчитывается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ежегодно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4.3. Качество проведения внутреннего финансового аудита</w:t>
            </w:r>
          </w:p>
        </w:tc>
        <w:tc>
          <w:tcPr>
            <w:tcW w:w="2983" w:type="dxa"/>
          </w:tcPr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Соответствие процедур проведения внутреннего финансового аудита требованиям к указанным процедурам, установленным федеральными стандартами внутреннего финансового аудита 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3260" w:type="dxa"/>
          </w:tcPr>
          <w:p w:rsidR="003B04E0" w:rsidRDefault="003B04E0" w:rsidP="00146AAD">
            <w:pPr>
              <w:autoSpaceDE w:val="0"/>
              <w:autoSpaceDN w:val="0"/>
              <w:adjustRightInd w:val="0"/>
              <w:jc w:val="both"/>
            </w:pPr>
            <w:r>
              <w:object w:dxaOrig="2616" w:dyaOrig="1248">
                <v:shape id="_x0000_i1027" type="#_x0000_t75" style="width:98.25pt;height:47.7pt" o:ole="">
                  <v:imagedata r:id="rId11" o:title=""/>
                </v:shape>
                <o:OLEObject Type="Embed" ProgID="PBrush" ShapeID="_x0000_i1027" DrawAspect="Content" ObjectID="_1643203356" r:id="rId14"/>
              </w:object>
            </w:r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n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требований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</w:t>
            </w:r>
            <w:proofErr w:type="gramEnd"/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проведению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внутреннего</w:t>
            </w:r>
            <w:proofErr w:type="gramEnd"/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финансового аудита;</w:t>
            </w:r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ei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1, если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i-e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требование выполнено полностью;</w:t>
            </w:r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ei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0,5, если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i-e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требование выполнено частично;</w:t>
            </w:r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ei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0, если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i-e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требование не выполнено</w:t>
            </w:r>
          </w:p>
        </w:tc>
        <w:tc>
          <w:tcPr>
            <w:tcW w:w="3294" w:type="dxa"/>
          </w:tcPr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Выполнение требований к проведению внутреннего финансового аудита является положительным фактором, способствующим повышению качества финансового менеджмента. Целевым ориентиром для главного администратора является полное выполнение установленных требований. Показатель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рассчитывается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ежегодно</w:t>
            </w:r>
          </w:p>
        </w:tc>
      </w:tr>
      <w:tr w:rsidR="004850F6" w:rsidRPr="00631B9B" w:rsidTr="00A1488F">
        <w:tc>
          <w:tcPr>
            <w:tcW w:w="3079" w:type="dxa"/>
          </w:tcPr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4.4. Проведение ГАБС мониторинга качества финансового менеджмента в отношении подведомственных ему получателей бюджетных средств</w:t>
            </w:r>
          </w:p>
        </w:tc>
        <w:tc>
          <w:tcPr>
            <w:tcW w:w="2983" w:type="dxa"/>
          </w:tcPr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= A+B, где:</w:t>
            </w:r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A – наличие утвержденного ГАБС порядка проведения мониторинга качества финансового менеджмента;</w:t>
            </w:r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B – наличие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результатов проведения мониторинга качества финансового менеджмента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за отчетный финансовый год</w:t>
            </w:r>
          </w:p>
        </w:tc>
        <w:tc>
          <w:tcPr>
            <w:tcW w:w="992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%</w:t>
            </w:r>
          </w:p>
        </w:tc>
        <w:tc>
          <w:tcPr>
            <w:tcW w:w="1134" w:type="dxa"/>
          </w:tcPr>
          <w:p w:rsidR="004850F6" w:rsidRPr="00631B9B" w:rsidRDefault="004850F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260" w:type="dxa"/>
          </w:tcPr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при наличии утвержденного ГАБС порядка проведения мониторинга качества финансового менеджмента и результатов его проведения за отчетный финансовый год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;</w:t>
            </w:r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0,5, при наличии утвержденного ГАБС порядка проведения мониторинга качества финансового менеджмента, но отсутствии результатов его провед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ения за отчетный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финансовый год;</w:t>
            </w:r>
          </w:p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E(P) = 0, при отсутствии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порядка проведения мониторинга качества финансового менеджмента</w:t>
            </w:r>
            <w:proofErr w:type="gramEnd"/>
          </w:p>
        </w:tc>
        <w:tc>
          <w:tcPr>
            <w:tcW w:w="3294" w:type="dxa"/>
          </w:tcPr>
          <w:p w:rsidR="004850F6" w:rsidRPr="00631B9B" w:rsidRDefault="004850F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Целевым ориентиром является наличие порядка проведения мониторинга качества финансового менеджмента, разработанного ГАБС в отношении подведомственных ему получателей бюджетных средств, и результатов его проведения за отчетный финансовый год</w:t>
            </w:r>
          </w:p>
        </w:tc>
      </w:tr>
      <w:tr w:rsidR="00672386" w:rsidRPr="00631B9B" w:rsidTr="002E114A">
        <w:tc>
          <w:tcPr>
            <w:tcW w:w="7054" w:type="dxa"/>
            <w:gridSpan w:val="3"/>
          </w:tcPr>
          <w:p w:rsidR="00672386" w:rsidRPr="00631B9B" w:rsidRDefault="00FA0411" w:rsidP="00146AA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5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Качество управления активами</w:t>
            </w:r>
          </w:p>
        </w:tc>
        <w:tc>
          <w:tcPr>
            <w:tcW w:w="1134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260" w:type="dxa"/>
          </w:tcPr>
          <w:p w:rsidR="00672386" w:rsidRPr="00631B9B" w:rsidRDefault="0067238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672386" w:rsidRPr="00631B9B" w:rsidRDefault="00672386" w:rsidP="00146AA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672386" w:rsidRPr="00631B9B" w:rsidTr="00A1488F">
        <w:tc>
          <w:tcPr>
            <w:tcW w:w="3079" w:type="dxa"/>
          </w:tcPr>
          <w:p w:rsidR="00672386" w:rsidRPr="00631B9B" w:rsidRDefault="00FA0411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5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.1. Доля недостач и хищений денежных средств и материальных ценностей</w:t>
            </w:r>
          </w:p>
        </w:tc>
        <w:tc>
          <w:tcPr>
            <w:tcW w:w="2983" w:type="dxa"/>
          </w:tcPr>
          <w:p w:rsidR="002465FF" w:rsidRPr="00631B9B" w:rsidRDefault="002465FF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=100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NewRomanPSMT" w:hAnsi="Cambria Math" w:cs="Times New Roman"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NewRomanPSMT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NewRomanPSMT" w:hAnsi="Cambria Math" w:cs="Times New Roman"/>
                      <w:sz w:val="24"/>
                      <w:szCs w:val="24"/>
                    </w:rPr>
                    <m:t>O+N+M+S</m:t>
                  </m:r>
                </m:den>
              </m:f>
            </m:oMath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</w:t>
            </w:r>
          </w:p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Т - сумма установленных недостач и хищений денежных средств и материальных ценностей (далее – недостачи и хищения) у ГАБС (подведомственных ему казенных, бюджетных и автономных учреждений) в отчетном финансовом году;</w:t>
            </w:r>
          </w:p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 - остаточная стоимость основных средств учреждения, допустившего недостачи и хищения;</w:t>
            </w:r>
          </w:p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N - остаточная стоимость нематериальных активов учреждения, допустившего недостачи и хищения;</w:t>
            </w:r>
          </w:p>
          <w:p w:rsidR="00672386" w:rsidRPr="00631B9B" w:rsidRDefault="00672386" w:rsidP="00172D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 - стоимость материальных запасов учреждения, допустившего недостачи 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хищения;</w:t>
            </w:r>
          </w:p>
          <w:p w:rsidR="00672386" w:rsidRPr="00631B9B" w:rsidRDefault="00672386" w:rsidP="00172D5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 – денежные средства учреждения, допустившего недостачи и хищения</w:t>
            </w:r>
          </w:p>
        </w:tc>
        <w:tc>
          <w:tcPr>
            <w:tcW w:w="992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1134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3260" w:type="dxa"/>
          </w:tcPr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= 0%</w:t>
            </w:r>
          </w:p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Р)= 0,5, если 0% &lt; Р &lt;= 2%</w:t>
            </w:r>
          </w:p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&gt; 2%</w:t>
            </w:r>
          </w:p>
          <w:p w:rsidR="00672386" w:rsidRPr="00631B9B" w:rsidRDefault="00672386" w:rsidP="00146AAD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Наличие сумм установленных недостач и хищений денежных средств и материальных ценностей у ГАБС (подведомственных ему казенных, бюджетных и автономных учреждений) в отчетном финансовом году свидетельствует о низком качестве финансового менеджмента.</w:t>
            </w:r>
          </w:p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Целевым ориентиром для ГАБС является значение показателя, равное нулю</w:t>
            </w:r>
          </w:p>
        </w:tc>
      </w:tr>
      <w:tr w:rsidR="00672386" w:rsidRPr="00631B9B" w:rsidTr="002E114A">
        <w:tc>
          <w:tcPr>
            <w:tcW w:w="7054" w:type="dxa"/>
            <w:gridSpan w:val="3"/>
          </w:tcPr>
          <w:p w:rsidR="00672386" w:rsidRPr="00631B9B" w:rsidRDefault="00FA0411" w:rsidP="006D79D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Контроль в сфере закупок </w:t>
            </w:r>
          </w:p>
        </w:tc>
        <w:tc>
          <w:tcPr>
            <w:tcW w:w="1134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260" w:type="dxa"/>
          </w:tcPr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672386" w:rsidRPr="00631B9B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672386" w:rsidRPr="00D80A5A" w:rsidTr="00A1488F">
        <w:tc>
          <w:tcPr>
            <w:tcW w:w="3079" w:type="dxa"/>
          </w:tcPr>
          <w:p w:rsidR="00672386" w:rsidRPr="00D80A5A" w:rsidRDefault="00FA0411" w:rsidP="00BF02CA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6</w:t>
            </w:r>
            <w:r w:rsidR="00672386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.1. Результаты мониторинга цен в сфере закупок товаров, работ, услуг для обеспечения </w:t>
            </w:r>
            <w:r w:rsidR="00737EF0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нужд города Боготола, проводимого </w:t>
            </w:r>
            <w:r w:rsidR="00BF02CA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МКУ «Центром муниципальных закупок»</w:t>
            </w:r>
            <w:r w:rsidR="00672386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 целях достижения максимальной экономической эффективности использования бюджетных средств</w:t>
            </w:r>
          </w:p>
        </w:tc>
        <w:tc>
          <w:tcPr>
            <w:tcW w:w="2983" w:type="dxa"/>
          </w:tcPr>
          <w:p w:rsidR="00672386" w:rsidRPr="00D80A5A" w:rsidRDefault="00672386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P =</w:t>
            </w:r>
            <w:r w:rsidR="003225D2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Зв/ </w:t>
            </w:r>
            <w:proofErr w:type="gramStart"/>
            <w:r w:rsidR="003225D2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225D2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100,</w:t>
            </w:r>
          </w:p>
          <w:p w:rsidR="00672386" w:rsidRPr="00D80A5A" w:rsidRDefault="00672386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672386" w:rsidRPr="00D80A5A" w:rsidRDefault="00672386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Зв - количество заявок, возвращенных на доработку в отчетном финансовом году,</w:t>
            </w:r>
          </w:p>
          <w:p w:rsidR="00672386" w:rsidRPr="00D80A5A" w:rsidRDefault="00672386" w:rsidP="00C619C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общее количество заявок, </w:t>
            </w:r>
            <w:r w:rsidR="00C619C3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представленных на рассмотрение </w:t>
            </w: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в отчетном финансовом году</w:t>
            </w:r>
          </w:p>
        </w:tc>
        <w:tc>
          <w:tcPr>
            <w:tcW w:w="992" w:type="dxa"/>
          </w:tcPr>
          <w:p w:rsidR="00672386" w:rsidRPr="00D80A5A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72386" w:rsidRPr="00D80A5A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3260" w:type="dxa"/>
          </w:tcPr>
          <w:p w:rsidR="00672386" w:rsidRPr="00D80A5A" w:rsidRDefault="00672386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&lt;= 10%</w:t>
            </w:r>
          </w:p>
          <w:p w:rsidR="00672386" w:rsidRPr="00D80A5A" w:rsidRDefault="00672386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E(P)=0,9, если 10%&lt;P&lt;= 20%</w:t>
            </w:r>
          </w:p>
          <w:p w:rsidR="00672386" w:rsidRPr="00D80A5A" w:rsidRDefault="00672386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E(P)=0,8, если 20%&lt;P&lt;= 30%</w:t>
            </w:r>
          </w:p>
          <w:p w:rsidR="00672386" w:rsidRPr="00D80A5A" w:rsidRDefault="003225D2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</w:t>
            </w:r>
            <w:r w:rsidR="00672386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=0,7, если 30%&lt;P&lt;= 40%</w:t>
            </w:r>
          </w:p>
          <w:p w:rsidR="00672386" w:rsidRPr="00D80A5A" w:rsidRDefault="00FE00E9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</w:t>
            </w:r>
            <w:r w:rsidR="00672386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=0,6, если 40% &lt; P &lt; 50%</w:t>
            </w:r>
          </w:p>
          <w:p w:rsidR="00672386" w:rsidRPr="00D80A5A" w:rsidRDefault="00672386" w:rsidP="0028527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0,0, если P &gt;= 50%</w:t>
            </w:r>
          </w:p>
        </w:tc>
        <w:tc>
          <w:tcPr>
            <w:tcW w:w="3294" w:type="dxa"/>
          </w:tcPr>
          <w:p w:rsidR="00672386" w:rsidRPr="00D80A5A" w:rsidRDefault="00672386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Факты возврата заявок на доработку приводят к увеличению сроков рассмотрения заявок, срыву планов-графиков и, как следствие, к несвоевременному исполнению бюджетных обязательств.</w:t>
            </w:r>
          </w:p>
          <w:p w:rsidR="00672386" w:rsidRPr="00D80A5A" w:rsidRDefault="00672386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Целевым ориентиром для ГАБС является значение показателя, равное 0</w:t>
            </w:r>
          </w:p>
        </w:tc>
      </w:tr>
      <w:tr w:rsidR="00672386" w:rsidRPr="00631B9B" w:rsidTr="00A1488F">
        <w:tc>
          <w:tcPr>
            <w:tcW w:w="3079" w:type="dxa"/>
          </w:tcPr>
          <w:p w:rsidR="00672386" w:rsidRPr="00D80A5A" w:rsidRDefault="00FA0411" w:rsidP="009C39D8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6</w:t>
            </w:r>
            <w:r w:rsidR="00672386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.2. Результаты экспертизы заявок на закупки товаров, работ, услуг, проводимой </w:t>
            </w:r>
            <w:r w:rsidR="009C39D8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МКУ «</w:t>
            </w:r>
            <w:r w:rsidR="00D80A5A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Центр</w:t>
            </w:r>
            <w:r w:rsidR="009C39D8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муниципальных закупок»</w:t>
            </w:r>
            <w:r w:rsidR="00672386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уполномоченным на определение поставщика (подрядчика, исполнителя)</w:t>
            </w:r>
          </w:p>
        </w:tc>
        <w:tc>
          <w:tcPr>
            <w:tcW w:w="2983" w:type="dxa"/>
          </w:tcPr>
          <w:p w:rsidR="00672386" w:rsidRPr="00D80A5A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P =</w:t>
            </w:r>
            <w:r w:rsidR="00C55E98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Зв/ </w:t>
            </w:r>
            <w:proofErr w:type="gramStart"/>
            <w:r w:rsidR="00C55E98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="00C55E98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55E98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100,</w:t>
            </w:r>
          </w:p>
          <w:p w:rsidR="00672386" w:rsidRPr="00D80A5A" w:rsidRDefault="00672386" w:rsidP="00C71A7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Зв - количество заявок, возвращенных по основаниям, предусмотренным порядком взаимодействия </w:t>
            </w:r>
            <w:r w:rsidR="00D80A5A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МКУ «Центр муниципальных закупок»</w:t>
            </w: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, уполномоченного на определение поставщика (подрядчика, исполнителя), с заказчиками города </w:t>
            </w: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Боготола в отчетном финансовом году,</w:t>
            </w:r>
          </w:p>
          <w:p w:rsidR="00672386" w:rsidRPr="00D80A5A" w:rsidRDefault="00672386" w:rsidP="00D80A5A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</w:t>
            </w:r>
            <w:proofErr w:type="gramEnd"/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общее количество заявок, представленных на рассмотрение </w:t>
            </w:r>
            <w:r w:rsidR="00D80A5A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МКУ «Центр муниципальных закупок»</w:t>
            </w: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уполномоченный на определение поставщика (подрядчика, исполнителя) в отчетном финансовом году</w:t>
            </w:r>
          </w:p>
        </w:tc>
        <w:tc>
          <w:tcPr>
            <w:tcW w:w="992" w:type="dxa"/>
          </w:tcPr>
          <w:p w:rsidR="00672386" w:rsidRPr="00D80A5A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72386" w:rsidRPr="00D80A5A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672386" w:rsidRPr="00D80A5A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1, если P &lt;= 10%</w:t>
            </w:r>
          </w:p>
          <w:p w:rsidR="00672386" w:rsidRPr="00D80A5A" w:rsidRDefault="00C55E98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</w:t>
            </w:r>
            <w:r w:rsidR="00672386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=0,9, если 10%&lt;P&lt;= 20%</w:t>
            </w:r>
          </w:p>
          <w:p w:rsidR="00672386" w:rsidRPr="00D80A5A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E(P)=</w:t>
            </w:r>
            <w:r w:rsidR="00C55E98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0,8, если 20%</w:t>
            </w: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&lt;P&lt;= 30%</w:t>
            </w:r>
          </w:p>
          <w:p w:rsidR="00672386" w:rsidRPr="00D80A5A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E(P)=</w:t>
            </w:r>
            <w:r w:rsidR="00C55E98"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0,7, если 30%</w:t>
            </w: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&lt;P&lt;= 40%</w:t>
            </w:r>
          </w:p>
          <w:p w:rsidR="00672386" w:rsidRPr="00D80A5A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E(P)=0,6, если 40% &lt; P &lt; 50%</w:t>
            </w:r>
          </w:p>
          <w:p w:rsidR="00672386" w:rsidRPr="00D80A5A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E(P) = 0,0, если P &gt;= 50%</w:t>
            </w:r>
          </w:p>
          <w:p w:rsidR="00672386" w:rsidRPr="00D80A5A" w:rsidRDefault="00672386" w:rsidP="006D79DA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672386" w:rsidRPr="00D80A5A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Факты возврата заявок на доработку приводят к увеличению сроков рассмотрения заявок, срыву планов-графиков и, как следствие, к несвоевременному исполнению  бюджетных обязательств.</w:t>
            </w:r>
          </w:p>
          <w:p w:rsidR="00672386" w:rsidRPr="00631B9B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80A5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Целевым ориентиром для ГАБС является значение показателя, равное 0</w:t>
            </w:r>
          </w:p>
        </w:tc>
      </w:tr>
      <w:tr w:rsidR="00672386" w:rsidRPr="00631B9B" w:rsidTr="002E114A">
        <w:tc>
          <w:tcPr>
            <w:tcW w:w="7054" w:type="dxa"/>
            <w:gridSpan w:val="3"/>
          </w:tcPr>
          <w:p w:rsidR="00672386" w:rsidRPr="00631B9B" w:rsidRDefault="00FA0411" w:rsidP="00C71A7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Уровень открытости бюджетных данных</w:t>
            </w:r>
          </w:p>
        </w:tc>
        <w:tc>
          <w:tcPr>
            <w:tcW w:w="1134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672386" w:rsidRPr="00631B9B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672386" w:rsidRPr="00631B9B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672386" w:rsidRPr="00631B9B" w:rsidTr="00A1488F">
        <w:tc>
          <w:tcPr>
            <w:tcW w:w="3079" w:type="dxa"/>
          </w:tcPr>
          <w:p w:rsidR="00672386" w:rsidRPr="00631B9B" w:rsidRDefault="00FA0411" w:rsidP="00737EF0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.1. Доля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опубликовавших на официальном сайте для размещения информации 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учреждениях (</w:t>
            </w:r>
            <w:proofErr w:type="spellStart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) (далее - сайте </w:t>
            </w:r>
            <w:proofErr w:type="spellStart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) информацию 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муниципальном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задании на оказание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услуг (выполнение работ) на отчетный год</w:t>
            </w:r>
          </w:p>
        </w:tc>
        <w:tc>
          <w:tcPr>
            <w:tcW w:w="2983" w:type="dxa"/>
          </w:tcPr>
          <w:p w:rsidR="00672386" w:rsidRPr="00631B9B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P =</w:t>
            </w:r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S</w:t>
            </w:r>
            <w:proofErr w:type="spellStart"/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spellEnd"/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/ S</w:t>
            </w:r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 xml:space="preserve"> 100,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разместивших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информацию 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муниципальном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задании на оказание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услуг (выполнение работ) на отчетный год до 1 марта отчетного года;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S -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автономных учреждений</w:t>
            </w:r>
          </w:p>
        </w:tc>
        <w:tc>
          <w:tcPr>
            <w:tcW w:w="992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3260" w:type="dxa"/>
          </w:tcPr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&gt;= 95,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0,7, если 90 &lt;= Р &lt; 95,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0,5, если 80 &lt;= Р &lt; 90,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&lt; 80</w:t>
            </w:r>
          </w:p>
          <w:p w:rsidR="00672386" w:rsidRPr="00631B9B" w:rsidRDefault="00672386" w:rsidP="00C71A7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672386" w:rsidRPr="00631B9B" w:rsidRDefault="00672386" w:rsidP="00737EF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Целевым ориентиром является размещение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бюджетными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автономными учреждениями информации 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муниципальном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задании на оказание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услуг (выполнение работ) на отчетный год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 срок до 1 марта отчетного года</w:t>
            </w:r>
          </w:p>
        </w:tc>
      </w:tr>
      <w:tr w:rsidR="00672386" w:rsidRPr="00631B9B" w:rsidTr="00A1488F">
        <w:tc>
          <w:tcPr>
            <w:tcW w:w="3079" w:type="dxa"/>
          </w:tcPr>
          <w:p w:rsidR="00672386" w:rsidRPr="00631B9B" w:rsidRDefault="00FA0411" w:rsidP="005D5913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.2. Доля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казенных,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опубликовавших на сайте </w:t>
            </w:r>
            <w:proofErr w:type="spellStart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информацию о показателях бюджетной сметы (для казенных учреждений), плане финансово-хозяйственной деятельности</w:t>
            </w:r>
            <w:r w:rsidR="00A1488F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(для бюджетных и автономных учреждений) на отчетный год</w:t>
            </w:r>
          </w:p>
        </w:tc>
        <w:tc>
          <w:tcPr>
            <w:tcW w:w="2983" w:type="dxa"/>
          </w:tcPr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</w:t>
            </w:r>
            <w:proofErr w:type="gramStart"/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S</w:t>
            </w:r>
            <w:proofErr w:type="spellStart"/>
            <w:proofErr w:type="gramEnd"/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spellEnd"/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/ </w:t>
            </w:r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55E98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100,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672386" w:rsidRPr="00631B9B" w:rsidRDefault="00672386" w:rsidP="00C55E9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казенных,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разместивших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информацию о показателях бюджетной сметы и плане финансово-хозяйственной деятельности на отчетный год до 1 марта отчетного года;</w:t>
            </w:r>
          </w:p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S -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казенных,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автономных учреждений</w:t>
            </w:r>
          </w:p>
        </w:tc>
        <w:tc>
          <w:tcPr>
            <w:tcW w:w="992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3260" w:type="dxa"/>
          </w:tcPr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&gt;= 95,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0,7, если 90 &lt;= Р &lt; 95,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0,5, если 80 &lt;= Р &lt; 90,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&lt; 80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672386" w:rsidRPr="00631B9B" w:rsidRDefault="00672386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Целевым ориентиром является размещение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казенными,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бюджетными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автономными учреждениями информации о показателях бюджетной сметы и плане финансово-хозяйственной деятельности на отчетный год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 срок до 1 марта отчетного года</w:t>
            </w:r>
          </w:p>
        </w:tc>
      </w:tr>
      <w:tr w:rsidR="00672386" w:rsidRPr="00631B9B" w:rsidTr="00A1488F">
        <w:tc>
          <w:tcPr>
            <w:tcW w:w="3079" w:type="dxa"/>
          </w:tcPr>
          <w:p w:rsidR="00672386" w:rsidRPr="00631B9B" w:rsidRDefault="00FA0411" w:rsidP="00737EF0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.3. Доля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казенных учреждений, подведомственных ГАБС (далее –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муниципальные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казенные учреждения),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опубликовавших на сайте </w:t>
            </w:r>
            <w:proofErr w:type="spellStart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отчеты о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результатах деятельности и об использовании закрепленного за ними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имущества за год, предшествующий </w:t>
            </w:r>
            <w:proofErr w:type="gramStart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2983" w:type="dxa"/>
          </w:tcPr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P = </w:t>
            </w:r>
            <w:proofErr w:type="gramStart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S</w:t>
            </w:r>
            <w:proofErr w:type="spellStart"/>
            <w:proofErr w:type="gramEnd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spellEnd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/ </w:t>
            </w:r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100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</w:t>
            </w:r>
          </w:p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Sр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казенных,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разместивших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отчеты о результатах деятельности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и об использовании закрепленного за ними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имущества за год, предшествующий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отчетному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до 1 июня отчетного года;</w:t>
            </w:r>
          </w:p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S -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казенных,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автономных учреждений</w:t>
            </w:r>
          </w:p>
        </w:tc>
        <w:tc>
          <w:tcPr>
            <w:tcW w:w="992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&gt;= 95,</w:t>
            </w:r>
          </w:p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0,7, если 90 &lt;= Р &lt; 95,</w:t>
            </w:r>
          </w:p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0,5, если 80 &lt;= Р &lt; 90,</w:t>
            </w:r>
          </w:p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&lt; 80</w:t>
            </w:r>
          </w:p>
          <w:p w:rsidR="00672386" w:rsidRPr="00631B9B" w:rsidRDefault="00672386" w:rsidP="005D5913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672386" w:rsidRPr="00631B9B" w:rsidRDefault="00672386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Целевым ориентиром является размещение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казенными,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бюджетными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муниципальными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автономными учреждениями отчетов о результатах деятельности и об использовании закрепленного за ними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муниципального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имущества за год, предшествующий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отчетному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,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 срок до 1 июня отчетного года</w:t>
            </w:r>
          </w:p>
        </w:tc>
      </w:tr>
      <w:tr w:rsidR="00672386" w:rsidRPr="00631B9B" w:rsidTr="00A1488F">
        <w:tc>
          <w:tcPr>
            <w:tcW w:w="3079" w:type="dxa"/>
          </w:tcPr>
          <w:p w:rsidR="00672386" w:rsidRPr="00631B9B" w:rsidRDefault="00FA0411" w:rsidP="00163F6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.4. Доля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казенных,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опубликовавших на сайте </w:t>
            </w:r>
            <w:proofErr w:type="spellStart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информацию о годовой бухгалтерской отчетности учреждения за год, предшествующий </w:t>
            </w:r>
            <w:proofErr w:type="gramStart"/>
            <w:r w:rsidR="00672386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2983" w:type="dxa"/>
          </w:tcPr>
          <w:p w:rsidR="00672386" w:rsidRPr="00631B9B" w:rsidRDefault="00672386" w:rsidP="00163F61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P = </w:t>
            </w:r>
            <w:proofErr w:type="gramStart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S</w:t>
            </w:r>
            <w:proofErr w:type="spellStart"/>
            <w:proofErr w:type="gramEnd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</w:t>
            </w:r>
            <w:proofErr w:type="spellEnd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/ </w:t>
            </w:r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  <w:lang w:val="en-US"/>
              </w:rPr>
              <w:t>S</w:t>
            </w:r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="002D6CF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100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,</w:t>
            </w:r>
          </w:p>
          <w:p w:rsidR="00672386" w:rsidRPr="00631B9B" w:rsidRDefault="00672386" w:rsidP="00163F61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где:</w:t>
            </w:r>
          </w:p>
          <w:p w:rsidR="00672386" w:rsidRPr="00631B9B" w:rsidRDefault="00672386" w:rsidP="00A1488F">
            <w:pPr>
              <w:autoSpaceDE w:val="0"/>
              <w:autoSpaceDN w:val="0"/>
              <w:adjustRightInd w:val="0"/>
              <w:ind w:right="-12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Sр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-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казенных,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автономных учреждений, разместивших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информацию о годовой бухгалтерской отчетности учреждения за год, предшествующий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отчетному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до 1 июня отчетного года;</w:t>
            </w:r>
          </w:p>
          <w:p w:rsidR="00672386" w:rsidRPr="00631B9B" w:rsidRDefault="00672386" w:rsidP="00737EF0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S -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казенных,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автономных учреждений.</w:t>
            </w:r>
          </w:p>
        </w:tc>
        <w:tc>
          <w:tcPr>
            <w:tcW w:w="992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72386" w:rsidRPr="00631B9B" w:rsidRDefault="00672386" w:rsidP="00D9045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672386" w:rsidRPr="00631B9B" w:rsidRDefault="00672386" w:rsidP="00163F61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1, если Р &gt;= 95,</w:t>
            </w:r>
          </w:p>
          <w:p w:rsidR="00672386" w:rsidRPr="00631B9B" w:rsidRDefault="00672386" w:rsidP="00163F61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0,7, если 90 &lt;= Р &lt; 95,</w:t>
            </w:r>
          </w:p>
          <w:p w:rsidR="00672386" w:rsidRPr="00631B9B" w:rsidRDefault="00672386" w:rsidP="00163F61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0,5, если 80 &lt;= Р &lt; 90,</w:t>
            </w:r>
          </w:p>
          <w:p w:rsidR="00672386" w:rsidRPr="00631B9B" w:rsidRDefault="00672386" w:rsidP="00163F61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Р) = 0, если Р &lt; 80</w:t>
            </w:r>
          </w:p>
          <w:p w:rsidR="00672386" w:rsidRPr="00631B9B" w:rsidRDefault="00672386" w:rsidP="00EB46DF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94" w:type="dxa"/>
          </w:tcPr>
          <w:p w:rsidR="00672386" w:rsidRPr="00631B9B" w:rsidRDefault="00672386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Целевым ориентиром является размещение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ными казенными,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ными бюджетными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ными автономными учреждениями информации о годовой бухгалтерской отчетности (форма 0503130 для казенных учреждений; форма 0503730 для бюджетных и автономных учреждений) за год, предшествующий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отчетному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,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 срок до 1 июня отчетного года</w:t>
            </w:r>
          </w:p>
        </w:tc>
      </w:tr>
    </w:tbl>
    <w:p w:rsidR="00F34452" w:rsidRPr="00631B9B" w:rsidRDefault="00F34452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lastRenderedPageBreak/>
        <w:t xml:space="preserve">* При оценке показателей раздела 4 (групп 4.1, 4.2, 4.3) за 2019 год применяются положения постановления </w:t>
      </w:r>
      <w:r w:rsidR="0096454C"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администрации города Боготола</w:t>
      </w:r>
      <w:r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96454C"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20</w:t>
      </w:r>
      <w:r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.</w:t>
      </w:r>
      <w:r w:rsidR="0096454C"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11</w:t>
      </w:r>
      <w:r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.201</w:t>
      </w:r>
      <w:r w:rsidR="0096454C"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7</w:t>
      </w:r>
      <w:r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 xml:space="preserve"> № </w:t>
      </w:r>
      <w:r w:rsidR="0096454C"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1479</w:t>
      </w:r>
      <w:r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-п «</w:t>
      </w:r>
      <w:r w:rsidR="0096454C" w:rsidRPr="00631B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Порядка осуществления внутреннего финансового контроля и внутреннего финансового аудита главными распорядителями (распорядителями) средств бюджета города, главными администраторами (администраторами) доходов бюджета города, главными администраторами (администраторами) источников финансирования дефицита бюджета города</w:t>
      </w:r>
      <w:r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».</w:t>
      </w:r>
      <w:proofErr w:type="gramEnd"/>
    </w:p>
    <w:p w:rsidR="008F65B5" w:rsidRPr="00631B9B" w:rsidRDefault="008F65B5">
      <w:pPr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br w:type="page"/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lastRenderedPageBreak/>
        <w:t>Приложение № 2</w:t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к Порядку проведения  мониторинга качества </w:t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финансового менеджмента, осуществляемого </w:t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главными  администраторами средств </w:t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бюджета города Боготол (главными </w:t>
      </w:r>
      <w:proofErr w:type="gramEnd"/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распорядителями средств бюджета города </w:t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Боготол, главными администраторами доходов </w:t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бюджета города Боготол,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главными</w:t>
      </w:r>
      <w:proofErr w:type="gramEnd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 </w:t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администраторами источников финансирования </w:t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ind w:firstLine="8505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дефицита бюджета города Боготол)</w:t>
      </w:r>
    </w:p>
    <w:p w:rsidR="00240789" w:rsidRPr="00631B9B" w:rsidRDefault="00240789" w:rsidP="002407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8F65B5" w:rsidRPr="00631B9B" w:rsidRDefault="008F65B5" w:rsidP="008F6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</w:p>
    <w:p w:rsidR="00F34452" w:rsidRPr="00631B9B" w:rsidRDefault="00F34452" w:rsidP="008F6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______________________________________________________</w:t>
      </w:r>
    </w:p>
    <w:p w:rsidR="00F34452" w:rsidRPr="00631B9B" w:rsidRDefault="00F34452" w:rsidP="008F6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0"/>
          <w:szCs w:val="20"/>
        </w:rPr>
      </w:pPr>
      <w:r w:rsidRPr="00631B9B">
        <w:rPr>
          <w:rFonts w:ascii="Times New Roman" w:eastAsia="TimesNewRomanPSMT" w:hAnsi="Times New Roman" w:cs="Times New Roman"/>
          <w:bCs/>
          <w:sz w:val="20"/>
          <w:szCs w:val="20"/>
        </w:rPr>
        <w:t xml:space="preserve">(наименование главного </w:t>
      </w:r>
      <w:proofErr w:type="gramStart"/>
      <w:r w:rsidRPr="00631B9B">
        <w:rPr>
          <w:rFonts w:ascii="Times New Roman" w:eastAsia="TimesNewRomanPSMT" w:hAnsi="Times New Roman" w:cs="Times New Roman"/>
          <w:bCs/>
          <w:sz w:val="20"/>
          <w:szCs w:val="20"/>
        </w:rPr>
        <w:t xml:space="preserve">распорядителя средств бюджета </w:t>
      </w:r>
      <w:r w:rsidR="00116C7D" w:rsidRPr="00631B9B">
        <w:rPr>
          <w:rFonts w:ascii="Times New Roman" w:eastAsia="TimesNewRomanPSMT" w:hAnsi="Times New Roman" w:cs="Times New Roman"/>
          <w:bCs/>
          <w:sz w:val="20"/>
          <w:szCs w:val="20"/>
        </w:rPr>
        <w:t>города Боготола</w:t>
      </w:r>
      <w:proofErr w:type="gramEnd"/>
      <w:r w:rsidRPr="00631B9B">
        <w:rPr>
          <w:rFonts w:ascii="Times New Roman" w:eastAsia="TimesNewRomanPSMT" w:hAnsi="Times New Roman" w:cs="Times New Roman"/>
          <w:bCs/>
          <w:sz w:val="20"/>
          <w:szCs w:val="20"/>
        </w:rPr>
        <w:t>)</w:t>
      </w:r>
    </w:p>
    <w:p w:rsidR="00F34452" w:rsidRPr="00631B9B" w:rsidRDefault="00F34452" w:rsidP="008F6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Информация, необходимая для проведения мониторинга качества финансового менеджмента</w:t>
      </w:r>
    </w:p>
    <w:p w:rsidR="00F34452" w:rsidRPr="00631B9B" w:rsidRDefault="00F34452" w:rsidP="008F6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8"/>
          <w:szCs w:val="28"/>
        </w:rPr>
      </w:pPr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>за _____________________________________________</w:t>
      </w:r>
    </w:p>
    <w:p w:rsidR="00F34452" w:rsidRPr="00631B9B" w:rsidRDefault="00F34452" w:rsidP="008F6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Cs/>
          <w:sz w:val="20"/>
          <w:szCs w:val="20"/>
        </w:rPr>
      </w:pPr>
      <w:r w:rsidRPr="00631B9B">
        <w:rPr>
          <w:rFonts w:ascii="Times New Roman" w:eastAsia="TimesNewRomanPSMT" w:hAnsi="Times New Roman" w:cs="Times New Roman"/>
          <w:bCs/>
          <w:sz w:val="20"/>
          <w:szCs w:val="20"/>
        </w:rPr>
        <w:t>(наименование отчетного периода)</w:t>
      </w:r>
    </w:p>
    <w:p w:rsidR="000B472C" w:rsidRPr="00631B9B" w:rsidRDefault="000B472C" w:rsidP="008A3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9889"/>
        <w:gridCol w:w="3402"/>
        <w:gridCol w:w="1495"/>
      </w:tblGrid>
      <w:tr w:rsidR="000B472C" w:rsidRPr="00631B9B" w:rsidTr="004952BC">
        <w:tc>
          <w:tcPr>
            <w:tcW w:w="9889" w:type="dxa"/>
          </w:tcPr>
          <w:p w:rsidR="000B472C" w:rsidRPr="00631B9B" w:rsidRDefault="000B472C" w:rsidP="000B472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3402" w:type="dxa"/>
          </w:tcPr>
          <w:p w:rsidR="000B472C" w:rsidRPr="00631B9B" w:rsidRDefault="000B472C" w:rsidP="004952B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Порядковый номер соответствующего показателя мониторинга качества финансового менеджмента, осуществляемого главными распорядителями средств бюджета </w:t>
            </w:r>
            <w:r w:rsidR="004952B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городского округа города Боготол</w:t>
            </w:r>
          </w:p>
        </w:tc>
        <w:tc>
          <w:tcPr>
            <w:tcW w:w="1495" w:type="dxa"/>
          </w:tcPr>
          <w:p w:rsidR="000B472C" w:rsidRPr="00631B9B" w:rsidRDefault="000B472C" w:rsidP="000B472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Значение показателя</w:t>
            </w: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0B472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95" w:type="dxa"/>
          </w:tcPr>
          <w:p w:rsidR="000B472C" w:rsidRPr="00631B9B" w:rsidRDefault="000B472C" w:rsidP="000B472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737E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1.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ных казенных учреждений, подведомственных ГАБС, в отчетном году по состоянию на 1 января текущего года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737EF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2.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казенных учреждений, подведомственных ГАБС, для которых установлены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ные задания в отчетном году по состоянию на 1 января текущего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3.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учреждений, представляющих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ные услуги в соответствии с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ными заданиями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1.6.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4.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учреждений, представляющих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ные услуги в соответствии с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ными заданиями, для которых применены количественно измеримые финансовые санкции (штрафы, изъятия) за нарушение условий выполнения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ных заданий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1.6.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737EF0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5. Общее количество муниципаль</w:t>
            </w:r>
            <w:r w:rsidR="000B472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ных услуг, за предоставление которых ответственен ГАБС (учредитель)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1.7.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6.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ных услуг, оказанных без отклонений от требований к качеству их оказания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1.7.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7.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автономных учреждений, которым установлены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ные задания в отчетном финансовом году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1.8.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8.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автономных учреждений, выполнивших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ное задание на 100% в отчетном финансовом году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1.8.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116C7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9. Кассовый план по налоговым и неналоговым доходам ГАДБ бюджета </w:t>
            </w:r>
            <w:r w:rsidR="00116C7D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города Боготола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за отчетный год (тыс. руб.)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0B47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10. Кассовое исполнение по налоговым и неналоговым доходам ГАДБ за отчетный год (тыс. руб.)</w:t>
            </w:r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2.2 и 2.3.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0B472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11.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Объем дебиторской задолженности ГАДБ по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администрируемым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налоговым и неналоговым доходам по состоянию на 1 января года, следующего за отчетным (тыс. руб.)</w:t>
            </w:r>
            <w:proofErr w:type="gramEnd"/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0B472C" w:rsidP="000B472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12. Число обращений об изменении кодов бюджетной классификации при кассовом исполнении бюджета, поступивших от ГАБС по состоянию на 1 января года, следующего за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402" w:type="dxa"/>
          </w:tcPr>
          <w:p w:rsidR="000B472C" w:rsidRPr="00631B9B" w:rsidRDefault="000B472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0B472C" w:rsidRPr="00631B9B" w:rsidTr="004952BC">
        <w:tc>
          <w:tcPr>
            <w:tcW w:w="9889" w:type="dxa"/>
          </w:tcPr>
          <w:p w:rsidR="000B472C" w:rsidRPr="00631B9B" w:rsidRDefault="001E1DEB" w:rsidP="001E1DE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13. Число обращений об изменении кодов бюджетной классификации при кассовом исполнении бюджета, поступивших от ГАБС по состоянию на 1 января отчетного года</w:t>
            </w:r>
          </w:p>
        </w:tc>
        <w:tc>
          <w:tcPr>
            <w:tcW w:w="3402" w:type="dxa"/>
          </w:tcPr>
          <w:p w:rsidR="000B472C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1495" w:type="dxa"/>
          </w:tcPr>
          <w:p w:rsidR="000B472C" w:rsidRPr="00631B9B" w:rsidRDefault="000B472C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14. Количество платежных поручений, представленных ГАБС и отклоненных из-за несоответствия требованиям действующих нормативных правовых актов или необоснованности заявленных к оплате сумм в отчетном финансовом году 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15. Количество возвращенных кредитными организациями платежных документов ГАБС в связи с неверно указанными реквизитами по состоянию на 1 января года, следующего за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2.6.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16. Количество возвращенных кредитными организациями платежных документов ГАБС в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связи с неверно указанными реквизитами по состоянию на 1 января отчетного года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2.6.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17. Количество неклассифицированных поступлений от поставщиков ГАБС в связи с неверно указанными реквизитами по состоянию на 1 января года, следующего за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2.7.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18. Количество неклассифицированных поступлений от поставщиков ГАБС в связи с неверно указанными реквизитами по состоянию на 1 января отчетного года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2.7.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19. Объем принятых бюджетных обязательств ГАБС в отчетном финансовом году на поставки товаров, оказание услуг, выполнение работ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2.8.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20. Объем контрактуемых лимитов бюджетных обязательств, доведенных в отчетном финансовом году до ГАБС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2.8.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21. Объем доходов от платных услуг и иной приносящей доход деятельности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ных автономных учреждений за отчетный год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2.10.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737EF0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22. Объем доходов от платных услуг и иной приносящей доход деятельности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автономных учреждений за год, предшествующий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2.10.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23. Соответствие требований, установленных в ведомственных (внутренних) актах главного администратора бюджетных средств, обеспечивающих осуществление внутреннего финансового аудита, требованиям к организации внутреннего финансового аудита, установленным федеральными стандартами внутреннего финансового аудита*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24. Соответствие требований к планированию внутреннего финансового аудита требованиям к указанным процедурам, установленным федеральным стандартом внутреннего финансового аудита*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25. Соответствие процедур проведения внутреннего финансового аудита требованиям к указанным процедурам, установленным федеральными стандартами внутреннего финансового аудита*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26. Наличие порядка проведения мониторинга качества финансового менеджмента, разработанного ГАБС в отношении подведомственных ему получателей бюджетных средств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4.4.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27. Наличие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результатов проведения мониторинга качества финансового менеджмента</w:t>
            </w:r>
            <w:proofErr w:type="gram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за отчетный финансовый год</w:t>
            </w:r>
          </w:p>
        </w:tc>
        <w:tc>
          <w:tcPr>
            <w:tcW w:w="3402" w:type="dxa"/>
          </w:tcPr>
          <w:p w:rsidR="001E1DEB" w:rsidRPr="00631B9B" w:rsidRDefault="001E1DEB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4.4.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96454C" w:rsidP="001E1DEB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28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Сумма установленных недостач и хищений денежных средств и материальных ценностей у ГАБС (подведомственных ему казенных, бюджетных и автономных учреждений) в отчетном финансовом году</w:t>
            </w:r>
          </w:p>
        </w:tc>
        <w:tc>
          <w:tcPr>
            <w:tcW w:w="3402" w:type="dxa"/>
          </w:tcPr>
          <w:p w:rsidR="001E1DEB" w:rsidRPr="00631B9B" w:rsidRDefault="0096454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5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00200A" w:rsidTr="004952BC">
        <w:tc>
          <w:tcPr>
            <w:tcW w:w="9889" w:type="dxa"/>
          </w:tcPr>
          <w:p w:rsidR="001E1DEB" w:rsidRPr="0000200A" w:rsidRDefault="0096454C" w:rsidP="00B6450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29</w:t>
            </w:r>
            <w:r w:rsidR="001E1DEB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Количество заявок, возвращенных </w:t>
            </w:r>
            <w:r w:rsidR="00B64509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МКУ «Центр муниципальных закупок»</w:t>
            </w:r>
            <w:r w:rsidR="001E1DEB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 доработку в отчетном финансовом году</w:t>
            </w:r>
          </w:p>
        </w:tc>
        <w:tc>
          <w:tcPr>
            <w:tcW w:w="3402" w:type="dxa"/>
          </w:tcPr>
          <w:p w:rsidR="001E1DEB" w:rsidRPr="0000200A" w:rsidRDefault="0096454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6</w:t>
            </w:r>
            <w:r w:rsidR="001E1DEB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1495" w:type="dxa"/>
          </w:tcPr>
          <w:p w:rsidR="001E1DEB" w:rsidRPr="0000200A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00200A" w:rsidTr="004952BC">
        <w:tc>
          <w:tcPr>
            <w:tcW w:w="9889" w:type="dxa"/>
          </w:tcPr>
          <w:p w:rsidR="001E1DEB" w:rsidRPr="0000200A" w:rsidRDefault="001E1DEB" w:rsidP="00B6450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  <w:r w:rsidR="0096454C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0</w:t>
            </w: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Общее количество заявок, представленных на рассмотрение в </w:t>
            </w:r>
            <w:r w:rsidR="00B64509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МКУ «Центр </w:t>
            </w:r>
            <w:r w:rsidR="00B64509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муниципальных закупок</w:t>
            </w:r>
            <w:proofErr w:type="gramStart"/>
            <w:r w:rsidR="00B64509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»</w:t>
            </w: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отчетном финансовом году</w:t>
            </w:r>
          </w:p>
        </w:tc>
        <w:tc>
          <w:tcPr>
            <w:tcW w:w="3402" w:type="dxa"/>
          </w:tcPr>
          <w:p w:rsidR="001E1DEB" w:rsidRPr="0000200A" w:rsidRDefault="0096454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1E1DEB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1495" w:type="dxa"/>
          </w:tcPr>
          <w:p w:rsidR="001E1DEB" w:rsidRPr="0000200A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00200A" w:rsidTr="004952BC">
        <w:tc>
          <w:tcPr>
            <w:tcW w:w="9889" w:type="dxa"/>
          </w:tcPr>
          <w:p w:rsidR="001E1DEB" w:rsidRPr="0000200A" w:rsidRDefault="001E1DEB" w:rsidP="00B6450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96454C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1</w:t>
            </w: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Количество заявок, возвращенных по основаниям, предусмотренным порядком взаимодействия </w:t>
            </w:r>
            <w:r w:rsidR="00B64509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МКУ «Центр муниципальных закупок»</w:t>
            </w: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, уполномоченного на определение поставщика (подрядчика, исполнителя) с заказчиками </w:t>
            </w:r>
            <w:r w:rsidR="00116C7D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города Боготола</w:t>
            </w: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в отчетном финансовом году</w:t>
            </w:r>
          </w:p>
        </w:tc>
        <w:tc>
          <w:tcPr>
            <w:tcW w:w="3402" w:type="dxa"/>
          </w:tcPr>
          <w:p w:rsidR="001E1DEB" w:rsidRPr="0000200A" w:rsidRDefault="0096454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6</w:t>
            </w:r>
            <w:r w:rsidR="001E1DEB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1495" w:type="dxa"/>
          </w:tcPr>
          <w:p w:rsidR="001E1DEB" w:rsidRPr="0000200A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00200A" w:rsidRDefault="001E1DEB" w:rsidP="00B64509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  <w:r w:rsidR="0096454C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2</w:t>
            </w: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Общее количество заявок, представленных на рассмотрение в </w:t>
            </w:r>
            <w:r w:rsidR="00B64509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МКУ «Центр муниципальных закупок»</w:t>
            </w: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, уполномоченный на определение поставщика (подрядчика, исполнителя) в отчетном финансовом году</w:t>
            </w:r>
          </w:p>
        </w:tc>
        <w:tc>
          <w:tcPr>
            <w:tcW w:w="3402" w:type="dxa"/>
          </w:tcPr>
          <w:p w:rsidR="001E1DEB" w:rsidRPr="00631B9B" w:rsidRDefault="0096454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6</w:t>
            </w:r>
            <w:r w:rsidR="001E1DEB" w:rsidRPr="0000200A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96454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  <w:r w:rsidR="0096454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Общее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казенных учреждений и (или)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ных автономных учреждений</w:t>
            </w:r>
          </w:p>
        </w:tc>
        <w:tc>
          <w:tcPr>
            <w:tcW w:w="3402" w:type="dxa"/>
          </w:tcPr>
          <w:p w:rsidR="001E1DEB" w:rsidRPr="00631B9B" w:rsidRDefault="0096454C" w:rsidP="0096454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.1.,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.2.,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.3., 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96454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  <w:r w:rsidR="0096454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4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автономных учреждений, опубликовавших на официальном сайте для размещения информации 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ных учреждениях (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) информацию 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ном задании на оказание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ных услуг (выполнение работ) на отчетный год</w:t>
            </w:r>
          </w:p>
        </w:tc>
        <w:tc>
          <w:tcPr>
            <w:tcW w:w="3402" w:type="dxa"/>
          </w:tcPr>
          <w:p w:rsidR="001E1DEB" w:rsidRPr="00631B9B" w:rsidRDefault="0096454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96454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  <w:r w:rsidR="0096454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5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казенных учреждений,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автономных учреждений, опубликовавших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информацию о показателях бюджетной сметы (для казенных учреждений), плане финансово-хозяйственной деятельности (для бюджетных и автономных учреждений) на отчетный год</w:t>
            </w:r>
          </w:p>
        </w:tc>
        <w:tc>
          <w:tcPr>
            <w:tcW w:w="3402" w:type="dxa"/>
          </w:tcPr>
          <w:p w:rsidR="001E1DEB" w:rsidRPr="00631B9B" w:rsidRDefault="0096454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96454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  <w:r w:rsidR="0096454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6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казенных учреждений,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автономных учреждений, опубликовавших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отчеты о результатах деятельности и об использовании закрепленного за ними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ного имущества за год, предшествующий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3402" w:type="dxa"/>
          </w:tcPr>
          <w:p w:rsidR="001E1DEB" w:rsidRPr="00631B9B" w:rsidRDefault="0096454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  <w:tr w:rsidR="001E1DEB" w:rsidRPr="00631B9B" w:rsidTr="004952BC">
        <w:tc>
          <w:tcPr>
            <w:tcW w:w="9889" w:type="dxa"/>
          </w:tcPr>
          <w:p w:rsidR="001E1DEB" w:rsidRPr="00631B9B" w:rsidRDefault="001E1DEB" w:rsidP="0096454C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3</w:t>
            </w:r>
            <w:r w:rsidR="0096454C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Количество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казенных учреждений,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бюджетных и </w:t>
            </w:r>
            <w:r w:rsidR="00737EF0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муниципаль</w:t>
            </w: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ных автономных учреждений, опубликовавших на сайте </w:t>
            </w:r>
            <w:proofErr w:type="spell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bus.gov.ru</w:t>
            </w:r>
            <w:proofErr w:type="spellEnd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информацию о годовой бухгалтерской отчетности учреждения за год, предшествующий </w:t>
            </w:r>
            <w:proofErr w:type="gramStart"/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3402" w:type="dxa"/>
          </w:tcPr>
          <w:p w:rsidR="001E1DEB" w:rsidRPr="00631B9B" w:rsidRDefault="0096454C" w:rsidP="001E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7</w:t>
            </w:r>
            <w:r w:rsidR="001E1DEB" w:rsidRPr="00631B9B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1495" w:type="dxa"/>
          </w:tcPr>
          <w:p w:rsidR="001E1DEB" w:rsidRPr="00631B9B" w:rsidRDefault="001E1DEB" w:rsidP="008A3556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</w:p>
        </w:tc>
      </w:tr>
    </w:tbl>
    <w:p w:rsidR="004A4E2B" w:rsidRPr="00F34452" w:rsidRDefault="00F34452" w:rsidP="001E1D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1B9B">
        <w:rPr>
          <w:rFonts w:ascii="Times New Roman" w:eastAsia="TimesNewRomanPSMT" w:hAnsi="Times New Roman" w:cs="Times New Roman"/>
          <w:bCs/>
          <w:sz w:val="28"/>
          <w:szCs w:val="28"/>
        </w:rPr>
        <w:t xml:space="preserve">*При оценке показателей, указанных в пунктах 23, 24, 25 (показатели групп 4.1, 4.2, 4.3), за 2019 </w:t>
      </w:r>
      <w:r w:rsidR="00D25625"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применяются положения постановления администрации города Боготола от 20.11.2017 № 1479-п «</w:t>
      </w:r>
      <w:r w:rsidR="00D25625" w:rsidRPr="00631B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Порядка осуществления внутреннего финансового контроля и внутреннего финансового аудита главными распорядителями (распорядителями) средств бюджета города, главными администраторами (администраторами) доходов бюджета города, главными администраторами (администраторами) источников финансирования дефицита бюджета города</w:t>
      </w:r>
      <w:r w:rsidR="00D25625" w:rsidRPr="00631B9B">
        <w:rPr>
          <w:rFonts w:ascii="Times New Roman" w:eastAsia="TimesNewRomanPSMT" w:hAnsi="Times New Roman" w:cs="Times New Roman"/>
          <w:bCs/>
          <w:color w:val="000000" w:themeColor="text1"/>
          <w:sz w:val="28"/>
          <w:szCs w:val="28"/>
        </w:rPr>
        <w:t>».</w:t>
      </w:r>
      <w:proofErr w:type="gramEnd"/>
    </w:p>
    <w:sectPr w:rsidR="004A4E2B" w:rsidRPr="00F34452" w:rsidSect="00D904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2790A"/>
    <w:multiLevelType w:val="hybridMultilevel"/>
    <w:tmpl w:val="CE92653A"/>
    <w:lvl w:ilvl="0" w:tplc="94B08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F34452"/>
    <w:rsid w:val="0000200A"/>
    <w:rsid w:val="00063A8C"/>
    <w:rsid w:val="000714D0"/>
    <w:rsid w:val="000B472C"/>
    <w:rsid w:val="000E2E93"/>
    <w:rsid w:val="000E5DFD"/>
    <w:rsid w:val="00100A73"/>
    <w:rsid w:val="00116C7D"/>
    <w:rsid w:val="00146AAD"/>
    <w:rsid w:val="00163F61"/>
    <w:rsid w:val="00172D50"/>
    <w:rsid w:val="001A4708"/>
    <w:rsid w:val="001D3259"/>
    <w:rsid w:val="001E1DEB"/>
    <w:rsid w:val="001E1FEC"/>
    <w:rsid w:val="00236C82"/>
    <w:rsid w:val="00237521"/>
    <w:rsid w:val="00240789"/>
    <w:rsid w:val="002465FF"/>
    <w:rsid w:val="00256E9D"/>
    <w:rsid w:val="00257153"/>
    <w:rsid w:val="00267577"/>
    <w:rsid w:val="0028527B"/>
    <w:rsid w:val="002A739A"/>
    <w:rsid w:val="002B0F08"/>
    <w:rsid w:val="002C796B"/>
    <w:rsid w:val="002D6CFD"/>
    <w:rsid w:val="002E114A"/>
    <w:rsid w:val="00322354"/>
    <w:rsid w:val="003225D2"/>
    <w:rsid w:val="003927B7"/>
    <w:rsid w:val="003B04E0"/>
    <w:rsid w:val="00440A25"/>
    <w:rsid w:val="0044760C"/>
    <w:rsid w:val="004850F6"/>
    <w:rsid w:val="004952BC"/>
    <w:rsid w:val="004A4E2B"/>
    <w:rsid w:val="004A516E"/>
    <w:rsid w:val="004D32A0"/>
    <w:rsid w:val="004F76B0"/>
    <w:rsid w:val="00503BA6"/>
    <w:rsid w:val="00533F82"/>
    <w:rsid w:val="00561387"/>
    <w:rsid w:val="00576764"/>
    <w:rsid w:val="00593500"/>
    <w:rsid w:val="005A0703"/>
    <w:rsid w:val="005B05BF"/>
    <w:rsid w:val="005D5913"/>
    <w:rsid w:val="00604B0D"/>
    <w:rsid w:val="00631B9B"/>
    <w:rsid w:val="00637399"/>
    <w:rsid w:val="00647833"/>
    <w:rsid w:val="006571D5"/>
    <w:rsid w:val="006625C3"/>
    <w:rsid w:val="00672386"/>
    <w:rsid w:val="006A2589"/>
    <w:rsid w:val="006B7486"/>
    <w:rsid w:val="006D79DA"/>
    <w:rsid w:val="00704E5C"/>
    <w:rsid w:val="007204B8"/>
    <w:rsid w:val="007235A6"/>
    <w:rsid w:val="00731748"/>
    <w:rsid w:val="00737EF0"/>
    <w:rsid w:val="0079705F"/>
    <w:rsid w:val="007D0418"/>
    <w:rsid w:val="007D2ED8"/>
    <w:rsid w:val="007F32D9"/>
    <w:rsid w:val="00801937"/>
    <w:rsid w:val="008061C4"/>
    <w:rsid w:val="0082134F"/>
    <w:rsid w:val="00834FCF"/>
    <w:rsid w:val="0085337F"/>
    <w:rsid w:val="00885186"/>
    <w:rsid w:val="00887428"/>
    <w:rsid w:val="00890652"/>
    <w:rsid w:val="008A3556"/>
    <w:rsid w:val="008B7E53"/>
    <w:rsid w:val="008F65B5"/>
    <w:rsid w:val="009073A5"/>
    <w:rsid w:val="0093006F"/>
    <w:rsid w:val="00954A98"/>
    <w:rsid w:val="0096454C"/>
    <w:rsid w:val="009A7C23"/>
    <w:rsid w:val="009B458C"/>
    <w:rsid w:val="009C1D5D"/>
    <w:rsid w:val="009C39D8"/>
    <w:rsid w:val="00A1488F"/>
    <w:rsid w:val="00A65F24"/>
    <w:rsid w:val="00A734EC"/>
    <w:rsid w:val="00A76F1D"/>
    <w:rsid w:val="00A84F72"/>
    <w:rsid w:val="00B10ADD"/>
    <w:rsid w:val="00B25798"/>
    <w:rsid w:val="00B345D5"/>
    <w:rsid w:val="00B64509"/>
    <w:rsid w:val="00B72751"/>
    <w:rsid w:val="00B84EAE"/>
    <w:rsid w:val="00BA189F"/>
    <w:rsid w:val="00BE63DC"/>
    <w:rsid w:val="00BF02CA"/>
    <w:rsid w:val="00BF7D9E"/>
    <w:rsid w:val="00C03625"/>
    <w:rsid w:val="00C279BB"/>
    <w:rsid w:val="00C42CE5"/>
    <w:rsid w:val="00C55E98"/>
    <w:rsid w:val="00C619C3"/>
    <w:rsid w:val="00C620B1"/>
    <w:rsid w:val="00C71A77"/>
    <w:rsid w:val="00C930BC"/>
    <w:rsid w:val="00C934E0"/>
    <w:rsid w:val="00CC5992"/>
    <w:rsid w:val="00CF48D4"/>
    <w:rsid w:val="00D16D16"/>
    <w:rsid w:val="00D23EE2"/>
    <w:rsid w:val="00D25625"/>
    <w:rsid w:val="00D80A5A"/>
    <w:rsid w:val="00D9045B"/>
    <w:rsid w:val="00DA2549"/>
    <w:rsid w:val="00DC4393"/>
    <w:rsid w:val="00DE490C"/>
    <w:rsid w:val="00DF38DB"/>
    <w:rsid w:val="00E64FED"/>
    <w:rsid w:val="00E77AB2"/>
    <w:rsid w:val="00E95AC2"/>
    <w:rsid w:val="00EA148F"/>
    <w:rsid w:val="00EA2B8B"/>
    <w:rsid w:val="00EA6A1F"/>
    <w:rsid w:val="00EB46DF"/>
    <w:rsid w:val="00F05C5A"/>
    <w:rsid w:val="00F11A0E"/>
    <w:rsid w:val="00F34452"/>
    <w:rsid w:val="00FA0411"/>
    <w:rsid w:val="00FA0EDE"/>
    <w:rsid w:val="00FA1C9C"/>
    <w:rsid w:val="00FA3906"/>
    <w:rsid w:val="00FB0BF3"/>
    <w:rsid w:val="00FC77C7"/>
    <w:rsid w:val="00FE00E9"/>
    <w:rsid w:val="00FE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2B"/>
  </w:style>
  <w:style w:type="paragraph" w:styleId="4">
    <w:name w:val="heading 4"/>
    <w:basedOn w:val="a"/>
    <w:link w:val="40"/>
    <w:uiPriority w:val="9"/>
    <w:qFormat/>
    <w:rsid w:val="009300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8A3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A355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715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7153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593500"/>
    <w:rPr>
      <w:color w:val="808080"/>
    </w:rPr>
  </w:style>
  <w:style w:type="table" w:styleId="a9">
    <w:name w:val="Table Grid"/>
    <w:basedOn w:val="a1"/>
    <w:uiPriority w:val="59"/>
    <w:rsid w:val="005935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9300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6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hyperlink" Target="consultantplus://offline/ref=9794E49248E4F1289E92F631E565CA2955BDFDBFA0C3D7160F182EDB33551BA93B8B65B548E07D56A347AB9E5F12B815C35F1C27DC96A9ECE2443139H6M5I" TargetMode="Externa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794E49248E4F1289E92F631E565CA2955BDFDBFA0C3D7160F182EDB33551BA93B8B65B548E07D56A347AA9F5912B815C35F1C27DC96A9ECE2443139H6M5I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C363B-FD30-4F0C-BED5-562340D0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32</Pages>
  <Words>7583</Words>
  <Characters>43227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kascheeva</dc:creator>
  <cp:lastModifiedBy>kascheeva</cp:lastModifiedBy>
  <cp:revision>101</cp:revision>
  <cp:lastPrinted>2020-02-14T09:33:00Z</cp:lastPrinted>
  <dcterms:created xsi:type="dcterms:W3CDTF">2020-02-05T09:50:00Z</dcterms:created>
  <dcterms:modified xsi:type="dcterms:W3CDTF">2020-02-14T09:36:00Z</dcterms:modified>
</cp:coreProperties>
</file>