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386"/>
        <w:gridCol w:w="1286"/>
        <w:gridCol w:w="1195"/>
        <w:gridCol w:w="1518"/>
      </w:tblGrid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>
            <w:bookmarkStart w:id="0" w:name="_GoBack" w:colFirst="3" w:colLast="3"/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>
            <w:r w:rsidRPr="00BE246B">
              <w:t>Приложение 8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/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>
            <w:r w:rsidRPr="00BE246B">
              <w:t xml:space="preserve">к решению </w:t>
            </w:r>
            <w:proofErr w:type="spellStart"/>
            <w:r w:rsidRPr="00BE246B">
              <w:t>Боготольского</w:t>
            </w:r>
            <w:proofErr w:type="spellEnd"/>
            <w:r w:rsidRPr="00BE246B">
              <w:t xml:space="preserve"> 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/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 w:rsidP="00BE246B">
            <w:r w:rsidRPr="00BE246B">
              <w:t>Городского</w:t>
            </w:r>
            <w:r>
              <w:t xml:space="preserve"> </w:t>
            </w:r>
            <w:r w:rsidRPr="00BE246B">
              <w:t>Совета депутатов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/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>
            <w:r w:rsidRPr="00BE246B">
              <w:t>от 20.12.2011 № 8-149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/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>
            <w:r w:rsidRPr="00BE246B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 w:rsidP="00BE246B">
            <w:r w:rsidRPr="00BE246B">
              <w:t> </w:t>
            </w:r>
          </w:p>
        </w:tc>
      </w:tr>
      <w:tr w:rsidR="00BE246B" w:rsidRPr="00BE246B" w:rsidTr="00BE246B">
        <w:trPr>
          <w:trHeight w:val="73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 w:rsidP="00BE246B">
            <w:pPr>
              <w:jc w:val="center"/>
              <w:rPr>
                <w:b/>
                <w:bCs/>
              </w:rPr>
            </w:pPr>
            <w:r w:rsidRPr="00BE246B">
              <w:rPr>
                <w:b/>
                <w:bCs/>
              </w:rPr>
              <w:t>Перечень долгосрочных целевых программ, подлежащих финансированию в 2012 году и плановом периоде 2013-2014 годов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 w:rsidP="00BE246B">
            <w:pPr>
              <w:rPr>
                <w:b/>
                <w:bCs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46B" w:rsidRPr="00BE246B" w:rsidRDefault="00BE246B" w:rsidP="00BE246B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 w:rsidP="00BE246B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46B" w:rsidRPr="00BE246B" w:rsidRDefault="00BE246B"/>
        </w:tc>
      </w:tr>
      <w:tr w:rsidR="00BE246B" w:rsidRPr="00BE246B" w:rsidTr="00BE2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46B" w:rsidRPr="00BE246B" w:rsidRDefault="00BE246B"/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46B" w:rsidRPr="00BE246B" w:rsidRDefault="00BE246B"/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46B" w:rsidRPr="00BE246B" w:rsidRDefault="00BE246B"/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46B" w:rsidRPr="00BE246B" w:rsidRDefault="00BE246B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246B" w:rsidRPr="00BE246B" w:rsidRDefault="00BE246B" w:rsidP="00BE246B">
            <w:r w:rsidRPr="00BE246B">
              <w:t>(тыс. рублей)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hideMark/>
          </w:tcPr>
          <w:p w:rsidR="00BE246B" w:rsidRPr="00BE246B" w:rsidRDefault="00BE246B" w:rsidP="00BE246B">
            <w:r w:rsidRPr="00BE246B">
              <w:t>№ строки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</w:tcBorders>
            <w:hideMark/>
          </w:tcPr>
          <w:p w:rsidR="00BE246B" w:rsidRPr="00BE246B" w:rsidRDefault="00BE246B" w:rsidP="00BE246B">
            <w:r w:rsidRPr="00BE246B">
              <w:t>Наименование программы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</w:tcBorders>
            <w:hideMark/>
          </w:tcPr>
          <w:p w:rsidR="00BE246B" w:rsidRPr="00BE246B" w:rsidRDefault="00BE246B" w:rsidP="00BE246B">
            <w:r w:rsidRPr="00BE246B">
              <w:t>Сумма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vMerge/>
            <w:hideMark/>
          </w:tcPr>
          <w:p w:rsidR="00BE246B" w:rsidRPr="00BE246B" w:rsidRDefault="00BE246B"/>
        </w:tc>
        <w:tc>
          <w:tcPr>
            <w:tcW w:w="4386" w:type="dxa"/>
            <w:vMerge/>
            <w:hideMark/>
          </w:tcPr>
          <w:p w:rsidR="00BE246B" w:rsidRPr="00BE246B" w:rsidRDefault="00BE246B"/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2012 год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2013 год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2014 год</w:t>
            </w:r>
          </w:p>
        </w:tc>
      </w:tr>
      <w:tr w:rsidR="00BE246B" w:rsidRPr="00BE246B" w:rsidTr="00BE246B">
        <w:trPr>
          <w:trHeight w:val="315"/>
        </w:trPr>
        <w:tc>
          <w:tcPr>
            <w:tcW w:w="960" w:type="dxa"/>
            <w:hideMark/>
          </w:tcPr>
          <w:p w:rsidR="00BE246B" w:rsidRPr="00BE246B" w:rsidRDefault="00BE246B">
            <w:r w:rsidRPr="00BE246B">
              <w:t> </w:t>
            </w:r>
          </w:p>
        </w:tc>
        <w:tc>
          <w:tcPr>
            <w:tcW w:w="4386" w:type="dxa"/>
            <w:hideMark/>
          </w:tcPr>
          <w:p w:rsidR="00BE246B" w:rsidRPr="00BE246B" w:rsidRDefault="00BE246B" w:rsidP="00BE246B">
            <w:r w:rsidRPr="00BE246B">
              <w:t>1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3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4</w:t>
            </w:r>
          </w:p>
        </w:tc>
      </w:tr>
      <w:tr w:rsidR="00BE246B" w:rsidRPr="00BE246B" w:rsidTr="00BE246B">
        <w:trPr>
          <w:trHeight w:val="70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«Организация летней занятости подростков г. Боготола на 2012-2014 годы»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320,0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330,0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340,0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«Профилактика безнадзорности и правонарушений несовершеннолетних» на 2010-2012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91,0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3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«Организация  отдыха, оздоровления, занятости детей и подростков города Боготола»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130,0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130,0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130,0</w:t>
            </w:r>
          </w:p>
        </w:tc>
      </w:tr>
      <w:tr w:rsidR="00BE246B" w:rsidRPr="00BE246B" w:rsidTr="00BE246B">
        <w:trPr>
          <w:trHeight w:val="106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4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«Развитие педагогического корпуса города Боготола»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357,0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359,0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361,0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5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«Развитие культуры города Боготола»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253,5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106,0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104,0</w:t>
            </w:r>
          </w:p>
        </w:tc>
      </w:tr>
      <w:tr w:rsidR="00BE246B" w:rsidRPr="00BE246B" w:rsidTr="00BE246B">
        <w:trPr>
          <w:trHeight w:val="108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6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«Обеспечение жизнедеятельности образовательных учреждений города Боготола»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921,4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397,5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209,0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7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«Дети» на 2012-2014 годы.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40,0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150,0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40,0</w:t>
            </w:r>
          </w:p>
        </w:tc>
      </w:tr>
      <w:tr w:rsidR="00BE246B" w:rsidRPr="00BE246B" w:rsidTr="00BE246B">
        <w:trPr>
          <w:trHeight w:val="126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8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«Обеспечение пожарной безопасности муниципальных образовательных учреждений города Боготола»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566,7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450,9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956,9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9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«Развитие сети дошкольных образовательных учреждений» на 2012-2015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260,0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270,0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250,0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10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«Техническое творчество детей»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75,0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35,0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35,0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lastRenderedPageBreak/>
              <w:t>11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«Развитие муниципальной системы школьного питания»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100,0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424,8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424,8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12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«Развитие физической культуры и спорта в городе Боготоле» на 2012-2014 годы.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660,0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660,0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660,0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13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«Патриотическое воспитание молодежи города Боготола» на 2012-2014 годы.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77,0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79,3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81,7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14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«Обеспечение жильем молодых семей» на 2012-2014 годы.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501,2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530,0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530,0</w:t>
            </w:r>
          </w:p>
        </w:tc>
      </w:tr>
      <w:tr w:rsidR="00BE246B" w:rsidRPr="00BE246B" w:rsidTr="00BE246B">
        <w:trPr>
          <w:trHeight w:val="75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15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«Профилактика правонарушений в городе Боготоле»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255,0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255,0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255,0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16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«Одаренные дети»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70,0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70,0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70,0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17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«Содержание и благоустройство кладбищ на территории города Боготола» на 2011-2013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220,0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220,0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18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 xml:space="preserve">Долгосрочная целевая программа «О мерах по противодействию терроризму и экстремизму в городе Боготоле на 2012-2014 годы» 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100,0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100,0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100,0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19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 Развитие субъектов малого и среднего предпринимательства на территории города Боготола» на 2011-2013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415,0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415,0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0,0</w:t>
            </w:r>
          </w:p>
        </w:tc>
      </w:tr>
      <w:tr w:rsidR="00BE246B" w:rsidRPr="00BE246B" w:rsidTr="00BE246B">
        <w:trPr>
          <w:trHeight w:val="945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20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«Модернизация улично-дорожной сети города Боготола» на 2011-2013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500,0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500,0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0,0</w:t>
            </w:r>
          </w:p>
        </w:tc>
      </w:tr>
      <w:tr w:rsidR="00BE246B" w:rsidRPr="00BE246B" w:rsidTr="00BE246B">
        <w:trPr>
          <w:trHeight w:val="63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21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«Доступная среда для инвалидов»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150,0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150,0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150,0</w:t>
            </w:r>
          </w:p>
        </w:tc>
      </w:tr>
      <w:tr w:rsidR="00BE246B" w:rsidRPr="00BE246B" w:rsidTr="00BE246B">
        <w:trPr>
          <w:trHeight w:val="126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22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«Об энергосбережении и повышении энергетической эффективности» на территории города Боготола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253,4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593,4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917,4</w:t>
            </w:r>
          </w:p>
        </w:tc>
      </w:tr>
      <w:tr w:rsidR="00BE246B" w:rsidRPr="00BE246B" w:rsidTr="00BE246B">
        <w:trPr>
          <w:trHeight w:val="126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23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«Комплексные меры противодействия распространению наркомании, пьянства и алкоголизма в городе Боготоле»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121,0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121,0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121,0</w:t>
            </w:r>
          </w:p>
        </w:tc>
      </w:tr>
      <w:tr w:rsidR="00BE246B" w:rsidRPr="00BE246B" w:rsidTr="00BE246B">
        <w:trPr>
          <w:trHeight w:val="1260"/>
        </w:trPr>
        <w:tc>
          <w:tcPr>
            <w:tcW w:w="960" w:type="dxa"/>
            <w:hideMark/>
          </w:tcPr>
          <w:p w:rsidR="00BE246B" w:rsidRPr="00BE246B" w:rsidRDefault="00BE246B" w:rsidP="00BE246B">
            <w:r w:rsidRPr="00BE246B">
              <w:t>24</w:t>
            </w:r>
          </w:p>
        </w:tc>
        <w:tc>
          <w:tcPr>
            <w:tcW w:w="4386" w:type="dxa"/>
            <w:hideMark/>
          </w:tcPr>
          <w:p w:rsidR="00BE246B" w:rsidRPr="00BE246B" w:rsidRDefault="00BE246B">
            <w:r w:rsidRPr="00BE246B">
              <w:t>Долгосрочная целевая программа «Проведение капитального ремонта многоквартирных домов муниципального образования город Боготол» на 2012-2014 годы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200,0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1 900,0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1 900,0</w:t>
            </w:r>
          </w:p>
        </w:tc>
      </w:tr>
      <w:tr w:rsidR="00BE246B" w:rsidRPr="00BE246B" w:rsidTr="00BE246B">
        <w:trPr>
          <w:trHeight w:val="315"/>
        </w:trPr>
        <w:tc>
          <w:tcPr>
            <w:tcW w:w="5346" w:type="dxa"/>
            <w:gridSpan w:val="2"/>
            <w:hideMark/>
          </w:tcPr>
          <w:p w:rsidR="00BE246B" w:rsidRPr="00BE246B" w:rsidRDefault="00BE246B">
            <w:r w:rsidRPr="00BE246B">
              <w:t>Всего</w:t>
            </w:r>
          </w:p>
        </w:tc>
        <w:tc>
          <w:tcPr>
            <w:tcW w:w="1286" w:type="dxa"/>
            <w:hideMark/>
          </w:tcPr>
          <w:p w:rsidR="00BE246B" w:rsidRPr="00BE246B" w:rsidRDefault="00BE246B" w:rsidP="00BE246B">
            <w:r w:rsidRPr="00BE246B">
              <w:t>6 637,2</w:t>
            </w:r>
          </w:p>
        </w:tc>
        <w:tc>
          <w:tcPr>
            <w:tcW w:w="1195" w:type="dxa"/>
            <w:hideMark/>
          </w:tcPr>
          <w:p w:rsidR="00BE246B" w:rsidRPr="00BE246B" w:rsidRDefault="00BE246B" w:rsidP="00BE246B">
            <w:r w:rsidRPr="00BE246B">
              <w:t>8 246,9</w:t>
            </w:r>
          </w:p>
        </w:tc>
        <w:tc>
          <w:tcPr>
            <w:tcW w:w="1518" w:type="dxa"/>
            <w:hideMark/>
          </w:tcPr>
          <w:p w:rsidR="00BE246B" w:rsidRPr="00BE246B" w:rsidRDefault="00BE246B" w:rsidP="00BE246B">
            <w:r w:rsidRPr="00BE246B">
              <w:t>7 635,8</w:t>
            </w:r>
          </w:p>
        </w:tc>
      </w:tr>
      <w:bookmarkEnd w:id="0"/>
    </w:tbl>
    <w:p w:rsidR="008E76E2" w:rsidRDefault="00BE246B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B"/>
    <w:rsid w:val="00BE246B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29B7"/>
  <w15:chartTrackingRefBased/>
  <w15:docId w15:val="{1F8690F6-CFA9-46C2-984B-A822BB4B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2024-03-19T03:05:00Z</dcterms:created>
  <dcterms:modified xsi:type="dcterms:W3CDTF">2024-03-19T03:06:00Z</dcterms:modified>
</cp:coreProperties>
</file>