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BA6" w:rsidRDefault="00F12BA6" w:rsidP="00F12BA6">
      <w:pPr>
        <w:jc w:val="center"/>
        <w:rPr>
          <w:b/>
          <w:sz w:val="52"/>
          <w:szCs w:val="52"/>
        </w:rPr>
      </w:pPr>
    </w:p>
    <w:p w:rsidR="00F12BA6" w:rsidRDefault="00F12BA6" w:rsidP="00F12BA6">
      <w:pPr>
        <w:jc w:val="center"/>
        <w:rPr>
          <w:b/>
          <w:sz w:val="52"/>
          <w:szCs w:val="52"/>
        </w:rPr>
      </w:pPr>
    </w:p>
    <w:p w:rsidR="00F12BA6" w:rsidRDefault="00F12BA6" w:rsidP="00F12BA6">
      <w:pPr>
        <w:jc w:val="center"/>
        <w:rPr>
          <w:b/>
          <w:sz w:val="52"/>
          <w:szCs w:val="52"/>
        </w:rPr>
      </w:pPr>
    </w:p>
    <w:p w:rsidR="00F12BA6" w:rsidRDefault="00F12BA6" w:rsidP="003635DD">
      <w:pPr>
        <w:rPr>
          <w:b/>
          <w:sz w:val="52"/>
          <w:szCs w:val="52"/>
        </w:rPr>
      </w:pPr>
    </w:p>
    <w:p w:rsidR="00F12BA6" w:rsidRPr="00F12BA6" w:rsidRDefault="00F12BA6" w:rsidP="00F12BA6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12BA6">
        <w:rPr>
          <w:rFonts w:ascii="Times New Roman" w:hAnsi="Times New Roman" w:cs="Times New Roman"/>
          <w:b/>
          <w:sz w:val="56"/>
          <w:szCs w:val="56"/>
        </w:rPr>
        <w:t>Прогноз</w:t>
      </w:r>
    </w:p>
    <w:p w:rsidR="00F12BA6" w:rsidRPr="00F12BA6" w:rsidRDefault="00F12BA6" w:rsidP="00F12BA6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F12BA6">
        <w:rPr>
          <w:rFonts w:ascii="Times New Roman" w:hAnsi="Times New Roman" w:cs="Times New Roman"/>
          <w:b/>
          <w:sz w:val="56"/>
          <w:szCs w:val="56"/>
        </w:rPr>
        <w:t>социально-экономичес</w:t>
      </w:r>
      <w:r>
        <w:rPr>
          <w:rFonts w:ascii="Times New Roman" w:hAnsi="Times New Roman" w:cs="Times New Roman"/>
          <w:b/>
          <w:sz w:val="56"/>
          <w:szCs w:val="56"/>
        </w:rPr>
        <w:t>кого развития муниципального образования город Боготол</w:t>
      </w:r>
      <w:r w:rsidRPr="00F12BA6">
        <w:rPr>
          <w:rFonts w:ascii="Times New Roman" w:hAnsi="Times New Roman" w:cs="Times New Roman"/>
          <w:b/>
          <w:sz w:val="56"/>
          <w:szCs w:val="56"/>
        </w:rPr>
        <w:t xml:space="preserve"> на 201</w:t>
      </w:r>
      <w:r>
        <w:rPr>
          <w:rFonts w:ascii="Times New Roman" w:hAnsi="Times New Roman" w:cs="Times New Roman"/>
          <w:b/>
          <w:sz w:val="56"/>
          <w:szCs w:val="56"/>
        </w:rPr>
        <w:t>9</w:t>
      </w:r>
      <w:r w:rsidRPr="00F12BA6">
        <w:rPr>
          <w:rFonts w:ascii="Times New Roman" w:hAnsi="Times New Roman" w:cs="Times New Roman"/>
          <w:b/>
          <w:sz w:val="56"/>
          <w:szCs w:val="56"/>
        </w:rPr>
        <w:t xml:space="preserve"> год</w:t>
      </w:r>
      <w:r>
        <w:rPr>
          <w:rFonts w:ascii="Times New Roman" w:hAnsi="Times New Roman" w:cs="Times New Roman"/>
          <w:b/>
          <w:sz w:val="56"/>
          <w:szCs w:val="56"/>
        </w:rPr>
        <w:br/>
        <w:t>и плановый период 2020</w:t>
      </w:r>
      <w:r w:rsidR="005974A8">
        <w:rPr>
          <w:rFonts w:ascii="Times New Roman" w:hAnsi="Times New Roman" w:cs="Times New Roman"/>
          <w:b/>
          <w:sz w:val="56"/>
          <w:szCs w:val="56"/>
        </w:rPr>
        <w:t>-</w:t>
      </w:r>
      <w:r w:rsidRPr="00F12BA6">
        <w:rPr>
          <w:rFonts w:ascii="Times New Roman" w:hAnsi="Times New Roman" w:cs="Times New Roman"/>
          <w:b/>
          <w:sz w:val="56"/>
          <w:szCs w:val="56"/>
        </w:rPr>
        <w:t>20</w:t>
      </w:r>
      <w:r>
        <w:rPr>
          <w:rFonts w:ascii="Times New Roman" w:hAnsi="Times New Roman" w:cs="Times New Roman"/>
          <w:b/>
          <w:sz w:val="56"/>
          <w:szCs w:val="56"/>
        </w:rPr>
        <w:t>21</w:t>
      </w:r>
      <w:r w:rsidRPr="00F12BA6">
        <w:rPr>
          <w:rFonts w:ascii="Times New Roman" w:hAnsi="Times New Roman" w:cs="Times New Roman"/>
          <w:b/>
          <w:sz w:val="56"/>
          <w:szCs w:val="56"/>
        </w:rPr>
        <w:t xml:space="preserve"> годов</w:t>
      </w:r>
    </w:p>
    <w:p w:rsidR="009D674E" w:rsidRDefault="009D674E" w:rsidP="009D6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</w:p>
    <w:p w:rsidR="009D674E" w:rsidRDefault="009D674E" w:rsidP="009D6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</w:p>
    <w:p w:rsidR="00F12BA6" w:rsidRDefault="00F12BA6" w:rsidP="009D6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</w:p>
    <w:p w:rsidR="00F12BA6" w:rsidRDefault="00F12BA6" w:rsidP="009D6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</w:p>
    <w:p w:rsidR="009D674E" w:rsidRDefault="009D674E" w:rsidP="009D6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</w:p>
    <w:p w:rsidR="009D674E" w:rsidRDefault="009D674E" w:rsidP="009D6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</w:p>
    <w:p w:rsidR="009D674E" w:rsidRDefault="009D674E" w:rsidP="009D6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72"/>
          <w:szCs w:val="72"/>
        </w:rPr>
      </w:pPr>
    </w:p>
    <w:p w:rsidR="003635DD" w:rsidRDefault="003635DD" w:rsidP="00F735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52"/>
          <w:szCs w:val="52"/>
        </w:rPr>
      </w:pPr>
    </w:p>
    <w:p w:rsidR="003635DD" w:rsidRDefault="003635DD" w:rsidP="00497D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D674E" w:rsidRDefault="009D674E" w:rsidP="009D6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ОГЛАВЛЕНИЕ</w:t>
      </w:r>
    </w:p>
    <w:p w:rsidR="000E04AE" w:rsidRDefault="000E04AE" w:rsidP="009D67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E04AE" w:rsidRDefault="000E04AE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СВЕДЕНИЯ ПО РАЗРАБОТКЕ ПРОГНОЗА СОЦИАЛЬНО-</w:t>
      </w:r>
    </w:p>
    <w:p w:rsidR="000E04AE" w:rsidRDefault="000E04AE" w:rsidP="000E04A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ЭКОНОМИЧЕСКОГО РАЗВИТИЯ МУНИЦИПАЛЬНОГО </w:t>
      </w:r>
    </w:p>
    <w:p w:rsidR="000E04AE" w:rsidRDefault="000E04AE" w:rsidP="000E04A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ОБРАЗОВАНИЯ……………………………………………………………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…4</w:t>
      </w:r>
    </w:p>
    <w:p w:rsidR="000E04AE" w:rsidRDefault="000E04AE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ОБЩИЕ СВЕДЕНИЯ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 МУНИЦИПАЛЬНОМ ОБРАЗОВАНИИ…………4</w:t>
      </w:r>
    </w:p>
    <w:p w:rsidR="000E04AE" w:rsidRDefault="000E04AE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ПРОМЫШЛЕ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ННОСТЬ…………………………………………………</w:t>
      </w:r>
      <w:proofErr w:type="gramStart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...….</w:t>
      </w:r>
      <w:proofErr w:type="gramEnd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.5</w:t>
      </w:r>
    </w:p>
    <w:p w:rsidR="000E04AE" w:rsidRDefault="000E04AE" w:rsidP="000E04AE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Объем отгруженной продук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ции по видам деятельности………</w:t>
      </w:r>
      <w:proofErr w:type="gramStart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</w:p>
    <w:p w:rsidR="000E04AE" w:rsidRDefault="000E04AE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СЕЛЬСКОЕ ХОЗЯЙСТВО………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……………………………………………6</w:t>
      </w:r>
    </w:p>
    <w:p w:rsidR="000E04AE" w:rsidRDefault="000E04AE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СТРОИТЕЛЬСТВО……………………………………………………………6</w:t>
      </w:r>
    </w:p>
    <w:p w:rsidR="000E04AE" w:rsidRDefault="000E04AE" w:rsidP="000E04AE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Жилищное строительство……………………………………………...7</w:t>
      </w:r>
    </w:p>
    <w:p w:rsidR="000E04AE" w:rsidRDefault="000E04AE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ИНВЕСТИЦИИ…………………………………………………………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.8</w:t>
      </w:r>
    </w:p>
    <w:p w:rsidR="000E04AE" w:rsidRDefault="000E04AE" w:rsidP="000E04AE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Инвестиционная деятельность средних и малых предприятий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.9</w:t>
      </w:r>
    </w:p>
    <w:p w:rsidR="000E04AE" w:rsidRDefault="000E04AE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ТРАНСПОРТ 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И СВЯЗЬ…………………………………………...……</w:t>
      </w:r>
      <w:proofErr w:type="gramStart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</w:p>
    <w:p w:rsidR="000E04AE" w:rsidRDefault="000E04AE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МАЛОЕ ПРЕДПРИНИМАТЕЛЬСТВО………………………………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</w:p>
    <w:p w:rsidR="000E04AE" w:rsidRDefault="000E04AE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РЕЗУЛЬТАТЫ ФИНАНСОВ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ОЙ ДЕЯТЕЛЬНОСТИ </w:t>
      </w:r>
      <w:proofErr w:type="gramStart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ПРЕДПРИЯТИЙ….</w:t>
      </w:r>
      <w:proofErr w:type="gramEnd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.14</w:t>
      </w:r>
    </w:p>
    <w:p w:rsidR="000E04AE" w:rsidRDefault="000E04AE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БЮДЖЕТ МУНИЦИП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АЛЬНОГО ОБРАЗОВАНИЯ……………………...15</w:t>
      </w:r>
    </w:p>
    <w:p w:rsidR="000E04AE" w:rsidRDefault="004427FF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ОБЩЕСТВЕНН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ОЕ ПИТАНИЕ……………………………………………...15</w:t>
      </w:r>
    </w:p>
    <w:p w:rsidR="004427FF" w:rsidRDefault="004427FF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РОЗНИЧНАЯ ТО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РГОВЛЯ……………………………………………...…...16</w:t>
      </w:r>
    </w:p>
    <w:p w:rsidR="004427FF" w:rsidRDefault="004427FF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ПЛАТНЫЕ УСЛУГИ НАСЕЛЕНИЮ……………………………...…</w:t>
      </w:r>
      <w:proofErr w:type="gramStart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17</w:t>
      </w:r>
    </w:p>
    <w:p w:rsidR="004427FF" w:rsidRDefault="004427FF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УРОВЕНЬ ЖИЗНИ НАСЕЛЕНИЯ……………………………………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17</w:t>
      </w:r>
    </w:p>
    <w:p w:rsidR="004427FF" w:rsidRDefault="004427FF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РЫНОК ТРУДА………………………………………………………………18</w:t>
      </w:r>
    </w:p>
    <w:p w:rsidR="004427FF" w:rsidRDefault="004427FF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ДЕМОГРАФИЧЕСКАЯ СИТУАЦИЯ…………………………...……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19</w:t>
      </w:r>
    </w:p>
    <w:p w:rsidR="004427FF" w:rsidRDefault="004427FF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ЗДРАВООХРАНЕНИЕ………………………………………...………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</w:p>
    <w:p w:rsidR="004427FF" w:rsidRDefault="004427FF" w:rsidP="000E04A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ОБРАЗОВ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АНИЕ……………………………………………………………...20</w:t>
      </w:r>
    </w:p>
    <w:p w:rsidR="004427FF" w:rsidRDefault="004427FF" w:rsidP="004427FF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Дошкольное образование………………………………………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.2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0</w:t>
      </w:r>
    </w:p>
    <w:p w:rsidR="004427FF" w:rsidRDefault="004427FF" w:rsidP="004427FF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Общее о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бразование……………………………………………………22</w:t>
      </w:r>
    </w:p>
    <w:p w:rsidR="004427FF" w:rsidRDefault="004427FF" w:rsidP="004427FF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Дополнительное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образование………………………………………...23</w:t>
      </w:r>
    </w:p>
    <w:p w:rsidR="004427FF" w:rsidRDefault="004427FF" w:rsidP="004427FF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КУЛЬТУ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РА…………………………………………………………………...24</w:t>
      </w:r>
    </w:p>
    <w:p w:rsidR="004427FF" w:rsidRDefault="004427FF" w:rsidP="004427FF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ФИЗИЧЕСКАЯ К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УЛЬТУРА И СПОРТ………………………………</w:t>
      </w:r>
      <w:proofErr w:type="gramStart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27</w:t>
      </w:r>
    </w:p>
    <w:p w:rsidR="004427FF" w:rsidRDefault="004427FF" w:rsidP="004427FF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СОЦИАЛЬНАЯ ЗАЩИТА НАСЕЛЕНИЯ…………………………………27</w:t>
      </w:r>
    </w:p>
    <w:p w:rsidR="004427FF" w:rsidRDefault="004427FF" w:rsidP="004427FF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Социальная защита ветеранов, тружеников тыла и жертв</w:t>
      </w:r>
    </w:p>
    <w:p w:rsidR="004427FF" w:rsidRDefault="004427FF" w:rsidP="004427FF">
      <w:pPr>
        <w:pStyle w:val="a4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политических репрессий, пенсионеров, родителей погибших</w:t>
      </w:r>
    </w:p>
    <w:p w:rsidR="004427FF" w:rsidRDefault="004427FF" w:rsidP="004427FF">
      <w:pPr>
        <w:pStyle w:val="a4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военн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ослужащих………………………………………………………29</w:t>
      </w:r>
    </w:p>
    <w:p w:rsidR="004427FF" w:rsidRDefault="00D662A2" w:rsidP="004427FF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Социальная защита инвалидов…………………………………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29</w:t>
      </w:r>
    </w:p>
    <w:p w:rsidR="00D662A2" w:rsidRDefault="00D662A2" w:rsidP="004427FF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Социальная поддержка граждан, находящихся в трудной</w:t>
      </w:r>
    </w:p>
    <w:p w:rsidR="00D662A2" w:rsidRDefault="00D662A2" w:rsidP="00D662A2">
      <w:pPr>
        <w:pStyle w:val="a4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жизненной ситуации……………………………………………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>.30</w:t>
      </w:r>
    </w:p>
    <w:p w:rsidR="005175A3" w:rsidRDefault="005175A3" w:rsidP="005175A3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Социальная защита с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емьи, женщин и детей…………………………30</w:t>
      </w:r>
    </w:p>
    <w:p w:rsidR="005175A3" w:rsidRDefault="008934CE" w:rsidP="005175A3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Социальная поддержка граждан на оплату жилищно-</w:t>
      </w:r>
    </w:p>
    <w:p w:rsidR="008934CE" w:rsidRDefault="008934CE" w:rsidP="008934CE">
      <w:pPr>
        <w:pStyle w:val="a4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коммуналь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ных услуг……………………………………………</w:t>
      </w:r>
      <w:proofErr w:type="gramStart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.31</w:t>
      </w:r>
    </w:p>
    <w:p w:rsidR="00DA3C99" w:rsidRDefault="00DA3C99" w:rsidP="00DA3C99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Социальное обсл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уживание граждан……………………………</w:t>
      </w:r>
      <w:proofErr w:type="gramStart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32</w:t>
      </w:r>
    </w:p>
    <w:p w:rsidR="009B446C" w:rsidRDefault="009B446C" w:rsidP="009B446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ЖИЛИЩНО-КОМ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МУНАЛЬНОЕ ХОЗЯЙСТВО……………………</w:t>
      </w:r>
      <w:proofErr w:type="gramStart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33</w:t>
      </w:r>
    </w:p>
    <w:p w:rsidR="009B446C" w:rsidRDefault="009B446C" w:rsidP="009B446C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Жилищный 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фонд………………………………………………………33</w:t>
      </w:r>
    </w:p>
    <w:p w:rsidR="009B446C" w:rsidRDefault="009B446C" w:rsidP="009B446C">
      <w:pPr>
        <w:pStyle w:val="a4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Коммунально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е хозяйство………………………………………</w:t>
      </w:r>
      <w:proofErr w:type="gramStart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.34</w:t>
      </w:r>
    </w:p>
    <w:p w:rsidR="009B446C" w:rsidRDefault="009B446C" w:rsidP="009B446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ЭКОЛОГИЧЕ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СКАЯ СИТУАЦИЯ……………………………………</w:t>
      </w:r>
      <w:proofErr w:type="gramStart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35</w:t>
      </w:r>
    </w:p>
    <w:p w:rsidR="009B446C" w:rsidRDefault="009B446C" w:rsidP="009B446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ПРАВО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НАРУШЕНИЯ………………………………………………………37</w:t>
      </w:r>
    </w:p>
    <w:p w:rsidR="009B446C" w:rsidRDefault="009B446C" w:rsidP="009B446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РЕАЛИЗАЦИЯ НА ТЕРРИТОРИИ МУНИЦИПАЛЬНОГО</w:t>
      </w:r>
    </w:p>
    <w:p w:rsidR="009B446C" w:rsidRDefault="009B446C" w:rsidP="009B446C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ОБРАЗОВАНИЯ ФЕДЕРАЛЬНЫХ И КРАЕВЫХ ЦЕЛЕВЫХ </w:t>
      </w:r>
    </w:p>
    <w:p w:rsidR="009B446C" w:rsidRDefault="009B446C" w:rsidP="009B446C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ПРОГ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РАММ……………………………………………………………</w:t>
      </w:r>
      <w:proofErr w:type="gramStart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37</w:t>
      </w:r>
    </w:p>
    <w:p w:rsidR="009B446C" w:rsidRDefault="009B446C" w:rsidP="009B446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ОСНОВНЫЕ ПРОБЛЕМЫ РАЗВИТИЯ МУНИЦИПАЛЬНОГО</w:t>
      </w:r>
    </w:p>
    <w:p w:rsidR="009B446C" w:rsidRDefault="009B446C" w:rsidP="009B446C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ОБРАЗО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ВАНИЯ………………………………………………………</w:t>
      </w:r>
      <w:proofErr w:type="gramStart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…….</w:t>
      </w:r>
      <w:proofErr w:type="gramEnd"/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.39</w:t>
      </w:r>
    </w:p>
    <w:p w:rsidR="009B446C" w:rsidRDefault="0043362F" w:rsidP="009B446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ПЕРСПЕКТИВЫ СОЦИАЛЬНО-ЭКОНОМИЧЕСКОГО </w:t>
      </w:r>
    </w:p>
    <w:p w:rsidR="0043362F" w:rsidRPr="009B446C" w:rsidRDefault="0043362F" w:rsidP="0043362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РАЗВИТИЯ МУНИЦ</w:t>
      </w:r>
      <w:r w:rsidR="00DC07D7">
        <w:rPr>
          <w:rFonts w:ascii="Times New Roman" w:hAnsi="Times New Roman" w:cs="Times New Roman"/>
          <w:bCs/>
          <w:color w:val="000000"/>
          <w:sz w:val="28"/>
          <w:szCs w:val="28"/>
        </w:rPr>
        <w:t>ИПАЛЬНОГО ОБРАЗОВАНИЯ…………………….40</w:t>
      </w:r>
      <w:bookmarkStart w:id="0" w:name="_GoBack"/>
      <w:bookmarkEnd w:id="0"/>
    </w:p>
    <w:p w:rsidR="00DA3C99" w:rsidRDefault="00DA3C99" w:rsidP="00DA3C99">
      <w:pPr>
        <w:pStyle w:val="a4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427FF" w:rsidRPr="000E04AE" w:rsidRDefault="004427FF" w:rsidP="004427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E04AE" w:rsidRDefault="000E04AE" w:rsidP="000E04A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427FF" w:rsidRDefault="004427FF" w:rsidP="000E04AE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635DD" w:rsidRDefault="003635DD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3362F" w:rsidRDefault="0043362F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635DD" w:rsidRDefault="003635DD" w:rsidP="00FB3E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635DD" w:rsidRDefault="00624575" w:rsidP="00624575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Сведения по разработке прогноза социально-экономического развития муниципального образования</w:t>
      </w:r>
    </w:p>
    <w:p w:rsidR="00624575" w:rsidRPr="00624575" w:rsidRDefault="00624575" w:rsidP="0062457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7358A" w:rsidRPr="00F7358A" w:rsidRDefault="00F7358A" w:rsidP="00624575">
      <w:pPr>
        <w:pStyle w:val="a3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7358A">
        <w:rPr>
          <w:rFonts w:ascii="Times New Roman" w:hAnsi="Times New Roman" w:cs="Times New Roman"/>
          <w:sz w:val="28"/>
          <w:szCs w:val="28"/>
        </w:rPr>
        <w:t xml:space="preserve">Прогноз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муниципального образования город Боготол на 2019 год и плановый период 2020-2021 годов </w:t>
      </w:r>
      <w:r w:rsidRPr="00F7358A">
        <w:rPr>
          <w:rFonts w:ascii="Times New Roman" w:hAnsi="Times New Roman" w:cs="Times New Roman"/>
          <w:sz w:val="28"/>
          <w:szCs w:val="28"/>
        </w:rPr>
        <w:t>разработан на основе текущей экономической ситуации города Боготола, с учетом сценарных условий социально-экономического развития Красноярского края и Российской Федерации в целом. Параметры про</w:t>
      </w:r>
      <w:r>
        <w:rPr>
          <w:rFonts w:ascii="Times New Roman" w:hAnsi="Times New Roman" w:cs="Times New Roman"/>
          <w:sz w:val="28"/>
          <w:szCs w:val="28"/>
        </w:rPr>
        <w:t>гноза развития экономики до 2021</w:t>
      </w:r>
      <w:r w:rsidRPr="00F7358A">
        <w:rPr>
          <w:rFonts w:ascii="Times New Roman" w:hAnsi="Times New Roman" w:cs="Times New Roman"/>
          <w:sz w:val="28"/>
          <w:szCs w:val="28"/>
        </w:rPr>
        <w:t xml:space="preserve"> года разработаны в двух вариантах: консервативном – 1 вариант, базовом – 2 вариант. В соответствии со сценарными условиями Минэкономразвития России основным вариантом прогноза определен вариант 2 – базовый, который учитывает своевременную реализацию инвестиционных проектов, положительную динамику показателей уровня жизни населения, более активную деятельность предприятий по повышению конкурентоспособности своей продукции, оказываемых услуг, внедрению эффективных технологий.</w:t>
      </w:r>
    </w:p>
    <w:p w:rsidR="00F7358A" w:rsidRPr="00F7358A" w:rsidRDefault="00F7358A" w:rsidP="00F7358A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B3E6F" w:rsidRPr="00624575" w:rsidRDefault="00FB3E6F" w:rsidP="00624575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624575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Общие сведения о муниципальном образовании</w:t>
      </w:r>
    </w:p>
    <w:p w:rsidR="003C1DEA" w:rsidRPr="003C1DEA" w:rsidRDefault="003C1DEA" w:rsidP="003C1DEA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left="140" w:firstLine="5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Горо</w:t>
      </w:r>
      <w:r w:rsidR="00E176F9">
        <w:rPr>
          <w:rFonts w:ascii="Times New Roman CYR" w:hAnsi="Times New Roman CYR" w:cs="Times New Roman CYR"/>
          <w:sz w:val="28"/>
          <w:szCs w:val="28"/>
        </w:rPr>
        <w:t>д Боготол расположен на границе</w:t>
      </w:r>
      <w:r>
        <w:rPr>
          <w:rFonts w:ascii="Times New Roman CYR" w:hAnsi="Times New Roman CYR" w:cs="Times New Roman CYR"/>
          <w:sz w:val="28"/>
          <w:szCs w:val="28"/>
        </w:rPr>
        <w:t xml:space="preserve"> Красноярского края и Кемеровской области в 6 км к северу от реки </w:t>
      </w:r>
      <w:hyperlink r:id="rId7" w:history="1">
        <w:r w:rsidRPr="00E176F9">
          <w:rPr>
            <w:rFonts w:ascii="Times New Roman CYR" w:hAnsi="Times New Roman CYR" w:cs="Times New Roman CYR"/>
            <w:sz w:val="28"/>
            <w:szCs w:val="28"/>
          </w:rPr>
          <w:t>Чулым</w:t>
        </w:r>
      </w:hyperlink>
      <w:r>
        <w:rPr>
          <w:rFonts w:ascii="Times New Roman CYR" w:hAnsi="Times New Roman CYR" w:cs="Times New Roman CYR"/>
          <w:sz w:val="28"/>
          <w:szCs w:val="28"/>
        </w:rPr>
        <w:t xml:space="preserve">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Ачинской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лесостепи по обе стороны от железной дороги. Площадь земель составляет 6281 га. Общая площадь застроенных земель в пределах городской черты – 635 га.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left="140" w:firstLine="6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Город разделен Транссибирской железнодорожной магистралью на две части – южную и северную. Южная часть более интенсивно застроена, здесь находится основной жилищный фонд и учреждения обслуживания.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left="140" w:firstLine="5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Жилищный фонд северной части города представлен индивидуальной застройкой, за исключением нескольких домов опытного поля и железнодорожной станции.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left="140" w:firstLine="56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Жилая застройка в целом характеризуется мелкой сетью кварталов с преобладанием одноэтажных деревянных домов с приусадебными участками от 0,05</w:t>
      </w:r>
      <w:r w:rsidR="001D1112">
        <w:rPr>
          <w:rFonts w:ascii="Times New Roman CYR" w:hAnsi="Times New Roman CYR" w:cs="Times New Roman CYR"/>
          <w:sz w:val="28"/>
          <w:szCs w:val="28"/>
        </w:rPr>
        <w:t xml:space="preserve"> га</w:t>
      </w:r>
      <w:r>
        <w:rPr>
          <w:rFonts w:ascii="Times New Roman CYR" w:hAnsi="Times New Roman CYR" w:cs="Times New Roman CYR"/>
          <w:sz w:val="28"/>
          <w:szCs w:val="28"/>
        </w:rPr>
        <w:t xml:space="preserve"> до 0,4 га. Размеры кварталов колеблются от 0,5 </w:t>
      </w:r>
      <w:r w:rsidR="001D1112">
        <w:rPr>
          <w:rFonts w:ascii="Times New Roman CYR" w:hAnsi="Times New Roman CYR" w:cs="Times New Roman CYR"/>
          <w:sz w:val="28"/>
          <w:szCs w:val="28"/>
        </w:rPr>
        <w:t xml:space="preserve">га </w:t>
      </w:r>
      <w:r>
        <w:rPr>
          <w:rFonts w:ascii="Times New Roman CYR" w:hAnsi="Times New Roman CYR" w:cs="Times New Roman CYR"/>
          <w:sz w:val="28"/>
          <w:szCs w:val="28"/>
        </w:rPr>
        <w:t>до 4–5 га.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left="140" w:firstLine="5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Многоэтажная застройка (4–5 этаже</w:t>
      </w:r>
      <w:r w:rsidR="00E176F9">
        <w:rPr>
          <w:rFonts w:ascii="Times New Roman CYR" w:hAnsi="Times New Roman CYR" w:cs="Times New Roman CYR"/>
          <w:sz w:val="28"/>
          <w:szCs w:val="28"/>
        </w:rPr>
        <w:t>й) размещена, в основном, по двум</w:t>
      </w:r>
      <w:r>
        <w:rPr>
          <w:rFonts w:ascii="Times New Roman CYR" w:hAnsi="Times New Roman CYR" w:cs="Times New Roman CYR"/>
          <w:sz w:val="28"/>
          <w:szCs w:val="28"/>
        </w:rPr>
        <w:t xml:space="preserve"> улицам – ул. Кирова и ул. 40 лет Октября.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left="140" w:firstLine="5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Общественные здания сосредоточены в центральной части города и представлены учреждениями культурно-бытового и административно-хозяйственного назначения.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left="140" w:firstLine="58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Промышленные предприятия рассредоточены, в </w:t>
      </w:r>
      <w:r w:rsidR="00E176F9">
        <w:rPr>
          <w:rFonts w:ascii="Times New Roman CYR" w:hAnsi="Times New Roman CYR" w:cs="Times New Roman CYR"/>
          <w:sz w:val="28"/>
          <w:szCs w:val="28"/>
        </w:rPr>
        <w:t>основном, по трем промышленно-</w:t>
      </w:r>
      <w:r>
        <w:rPr>
          <w:rFonts w:ascii="Times New Roman CYR" w:hAnsi="Times New Roman CYR" w:cs="Times New Roman CYR"/>
          <w:sz w:val="28"/>
          <w:szCs w:val="28"/>
        </w:rPr>
        <w:t>коммунальным зонам, примыкающим с запада, востока и юга к основной застроенной части территории города, часть и</w:t>
      </w:r>
      <w:r w:rsidR="00E176F9">
        <w:rPr>
          <w:rFonts w:ascii="Times New Roman CYR" w:hAnsi="Times New Roman CYR" w:cs="Times New Roman CYR"/>
          <w:sz w:val="28"/>
          <w:szCs w:val="28"/>
        </w:rPr>
        <w:t>з них находится непосредственно</w:t>
      </w:r>
      <w:r>
        <w:rPr>
          <w:rFonts w:ascii="Times New Roman CYR" w:hAnsi="Times New Roman CYR" w:cs="Times New Roman CYR"/>
          <w:sz w:val="28"/>
          <w:szCs w:val="28"/>
        </w:rPr>
        <w:t xml:space="preserve"> в самой застройке, а также в полосе отвода железной дороги или примыкают к ней.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left="140" w:firstLine="580"/>
        <w:jc w:val="both"/>
        <w:rPr>
          <w:rFonts w:ascii="Times New Roman CYR" w:hAnsi="Times New Roman CYR" w:cs="Times New Roman CYR"/>
          <w:color w:val="161616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Приоритетными отраслями социально-эконом</w:t>
      </w:r>
      <w:r w:rsidR="00017BD9">
        <w:rPr>
          <w:rFonts w:ascii="Times New Roman CYR" w:hAnsi="Times New Roman CYR" w:cs="Times New Roman CYR"/>
          <w:sz w:val="28"/>
          <w:szCs w:val="28"/>
        </w:rPr>
        <w:t>ического развития города до 2021</w:t>
      </w:r>
      <w:r>
        <w:rPr>
          <w:rFonts w:ascii="Times New Roman CYR" w:hAnsi="Times New Roman CYR" w:cs="Times New Roman CYR"/>
          <w:sz w:val="28"/>
          <w:szCs w:val="28"/>
        </w:rPr>
        <w:t xml:space="preserve"> года, </w:t>
      </w:r>
      <w:r>
        <w:rPr>
          <w:rFonts w:ascii="Times New Roman CYR" w:hAnsi="Times New Roman CYR" w:cs="Times New Roman CYR"/>
          <w:color w:val="161616"/>
          <w:sz w:val="28"/>
          <w:szCs w:val="28"/>
        </w:rPr>
        <w:t>формирующими основной производственный потенциал муниципального образования являются перерабатывающе</w:t>
      </w:r>
      <w:r w:rsidR="00017BD9">
        <w:rPr>
          <w:rFonts w:ascii="Times New Roman CYR" w:hAnsi="Times New Roman CYR" w:cs="Times New Roman CYR"/>
          <w:color w:val="161616"/>
          <w:sz w:val="28"/>
          <w:szCs w:val="28"/>
        </w:rPr>
        <w:t>е производство и транспорт, в том числе</w:t>
      </w:r>
      <w:r>
        <w:rPr>
          <w:rFonts w:ascii="Times New Roman CYR" w:hAnsi="Times New Roman CYR" w:cs="Times New Roman CYR"/>
          <w:color w:val="161616"/>
          <w:sz w:val="28"/>
          <w:szCs w:val="28"/>
        </w:rPr>
        <w:t xml:space="preserve"> предприятия: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• 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Боготольский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вагоноремонтный завод»;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• ООО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Боготолмолоко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»; </w:t>
      </w:r>
    </w:p>
    <w:p w:rsidR="00FB3E6F" w:rsidRPr="003C1DEA" w:rsidRDefault="003C1DEA" w:rsidP="003C1D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• ОАО «РЖД».</w:t>
      </w:r>
    </w:p>
    <w:p w:rsidR="00FB3E6F" w:rsidRPr="00497D71" w:rsidRDefault="00FB3E6F" w:rsidP="00497D71">
      <w:pPr>
        <w:pStyle w:val="a3"/>
        <w:rPr>
          <w:sz w:val="28"/>
          <w:szCs w:val="28"/>
        </w:rPr>
      </w:pPr>
      <w:r>
        <w:t xml:space="preserve"> </w:t>
      </w:r>
    </w:p>
    <w:p w:rsidR="00FB3E6F" w:rsidRPr="003C1DEA" w:rsidRDefault="00FB3E6F" w:rsidP="00624575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C1DE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Промышленность</w:t>
      </w:r>
    </w:p>
    <w:p w:rsidR="003C1DEA" w:rsidRPr="003C1DEA" w:rsidRDefault="003C1DEA" w:rsidP="003C1DEA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FB3E6F" w:rsidRDefault="00017BD9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 состоянию на 01.01.2018 года н</w:t>
      </w:r>
      <w:r w:rsidR="00FB3E6F">
        <w:rPr>
          <w:rFonts w:ascii="Times New Roman CYR" w:hAnsi="Times New Roman CYR" w:cs="Times New Roman CYR"/>
          <w:sz w:val="28"/>
          <w:szCs w:val="28"/>
        </w:rPr>
        <w:t xml:space="preserve">а 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</w:rPr>
        <w:t xml:space="preserve">территории города Боготола зарегистрировано юридических лиц, филиалов и других обособленных подразделений - 200 единиц, что составляет 95,7 % к уровню 2016 года.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 количества зарегистрированных хозяйствующих субъектов 35,7% приходится на филиалы и структурные подразделения: в том числе деятельность магистрального и промышленного железнодорожного транспорта, деятельность в системе теплоснабжения и социальной сфере (эксплуатационное депо, ремонтное локомотивное депо, дистанция пути, физкультурно-оздоровительный комплекс с бассейном, дистанция гражданских сооружений, дистанция электроснабжения, дистанция сигнализации и блокировки).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территории города финансово-хозяйственную деятельность в сфере промышленного производства осуществляют структурные подразделения: ОАО "РЖД";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Боготольский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филиал ГПКК "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Ачинское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ДРСУ</w:t>
      </w:r>
      <w:r w:rsidR="003C1DEA">
        <w:rPr>
          <w:rFonts w:ascii="Times New Roman CYR" w:hAnsi="Times New Roman CYR" w:cs="Times New Roman CYR"/>
          <w:color w:val="000000"/>
          <w:sz w:val="28"/>
          <w:szCs w:val="28"/>
        </w:rPr>
        <w:t xml:space="preserve">"; сервисное локомотивное депо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"Боготол-Сибирский" ООО "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ЛокоТех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-Сервис", ООО "Сибирский завод экологической техники"; ООО "Красноярской региональной энергетической компании".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Малые и средние </w:t>
      </w:r>
      <w:r w:rsidR="00017BD9">
        <w:rPr>
          <w:rFonts w:ascii="Times New Roman CYR" w:hAnsi="Times New Roman CYR" w:cs="Times New Roman CYR"/>
          <w:color w:val="000000"/>
          <w:sz w:val="28"/>
          <w:szCs w:val="28"/>
        </w:rPr>
        <w:t>предприятия: ООО «Б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ВРЗ», ООО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Боготолмолоко</w:t>
      </w:r>
      <w:proofErr w:type="spellEnd"/>
      <w:r w:rsidR="00017BD9">
        <w:rPr>
          <w:rFonts w:ascii="Times New Roman CYR" w:hAnsi="Times New Roman CYR" w:cs="Times New Roman CYR"/>
          <w:color w:val="000000"/>
          <w:sz w:val="28"/>
          <w:szCs w:val="28"/>
        </w:rPr>
        <w:t>+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», ООО ДПМК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Боготольская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», ООО «Водоканал-Сервис», ООО «Набат», ООО «Полигон», ООО «Скиф», ОАО «Автомобилист».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  <w:u w:val="single"/>
        </w:rPr>
      </w:pPr>
    </w:p>
    <w:p w:rsidR="00FB3E6F" w:rsidRPr="00624575" w:rsidRDefault="00624575" w:rsidP="00FB3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color w:val="000000"/>
          <w:sz w:val="28"/>
          <w:szCs w:val="28"/>
        </w:rPr>
      </w:pPr>
      <w:r w:rsidRPr="00624575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3.1. </w:t>
      </w:r>
      <w:r w:rsidR="00FB3E6F" w:rsidRPr="00624575">
        <w:rPr>
          <w:rFonts w:ascii="Times New Roman CYR" w:hAnsi="Times New Roman CYR" w:cs="Times New Roman CYR"/>
          <w:b/>
          <w:color w:val="000000"/>
          <w:sz w:val="28"/>
          <w:szCs w:val="28"/>
        </w:rPr>
        <w:t>Объем отгруженной продукции по видам деятельности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организаций по чистым видам деятельности </w:t>
      </w:r>
      <w:r w:rsidR="00017BD9">
        <w:rPr>
          <w:rFonts w:ascii="Times New Roman CYR" w:hAnsi="Times New Roman CYR" w:cs="Times New Roman CYR"/>
          <w:color w:val="000000"/>
          <w:sz w:val="28"/>
          <w:szCs w:val="28"/>
        </w:rPr>
        <w:t xml:space="preserve">в 2017 году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составил 3 553 488,3 тыс. руб., с увеличением к 2016 году на 1, 97%.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2017 году объем отгруженных товаров собственного производства, выполненных работ и услуг собственными силами по виду деятельности «Обеспечение электрической энергией, газом и паром; кондиционирования воздуха» составил 296 546,8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тыс.руб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 xml:space="preserve">ООО «Водоканал-Сервис» - вода питьевая 519,8 тыс. куб. метров, вода сточная очищенная 491,5 тыс.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куб.метров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Продукция производства и распределения электроэнергии, газа и воды занимает 8,35 %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от всего объема отгруженных товаров всех предприятий города.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</w:t>
      </w:r>
      <w:r w:rsidRPr="00FB3E6F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году объем отгруженных товаров собственного производства, выполненных работ и услуг собственными силами по виду деятельности «Обрабатывающее производство» составил</w:t>
      </w:r>
      <w:r w:rsidRPr="00FB3E6F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FB3E6F">
        <w:rPr>
          <w:rFonts w:ascii="Times New Roman" w:hAnsi="Times New Roman" w:cs="Times New Roman"/>
          <w:color w:val="000000"/>
          <w:sz w:val="28"/>
          <w:szCs w:val="28"/>
        </w:rPr>
        <w:t>686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FB3E6F">
        <w:rPr>
          <w:rFonts w:ascii="Times New Roman" w:hAnsi="Times New Roman" w:cs="Times New Roman"/>
          <w:color w:val="000000"/>
          <w:sz w:val="28"/>
          <w:szCs w:val="28"/>
        </w:rPr>
        <w:t>565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Pr="00FB3E6F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</w:t>
      </w:r>
      <w:r w:rsidR="00741146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руб., что на 1,63% выше прошлого года.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ООО «БВРЗ» по ремонту подвижного состава (магистральные вагоны) в натуральном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выражении за 2017 год составило 2665 вагонов, на сумму 199,0 т</w:t>
      </w:r>
      <w:r w:rsidR="00741146"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ыс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.</w:t>
      </w:r>
      <w:r w:rsidR="00741146"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 xml:space="preserve">руб. </w:t>
      </w:r>
      <w:r>
        <w:rPr>
          <w:rFonts w:ascii="Times New Roman CYR" w:hAnsi="Times New Roman CYR" w:cs="Times New Roman CYR"/>
          <w:sz w:val="28"/>
          <w:szCs w:val="28"/>
        </w:rPr>
        <w:t>На прогнозный период 2018 года происходит снижение показателя, это связанно с несвоевременным заключением договоров с АО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НефтеТрансСервис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»;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Трансойл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" и "ВТБ Лизинг".</w:t>
      </w:r>
    </w:p>
    <w:p w:rsidR="00FB3E6F" w:rsidRPr="003C1DEA" w:rsidRDefault="00FB3E6F" w:rsidP="003C1D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ООО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Боготолмолоко</w:t>
      </w:r>
      <w:proofErr w:type="spellEnd"/>
      <w:r w:rsidR="00624575">
        <w:rPr>
          <w:rFonts w:ascii="Times New Roman CYR" w:hAnsi="Times New Roman CYR" w:cs="Times New Roman CYR"/>
          <w:color w:val="000000"/>
          <w:sz w:val="28"/>
          <w:szCs w:val="28"/>
        </w:rPr>
        <w:t>+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» произведено цельномолочной продукции (в пересчете на молоко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) 1121,8 тонн, масло животное 23,8 тонны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  <w:r w:rsidR="00741146">
        <w:rPr>
          <w:rFonts w:ascii="Times New Roman CYR" w:hAnsi="Times New Roman CYR" w:cs="Times New Roman CYR"/>
          <w:color w:val="000000"/>
          <w:sz w:val="28"/>
          <w:szCs w:val="28"/>
        </w:rPr>
        <w:t xml:space="preserve"> Хлебопекарными предприятиями города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Боготола за 2017 год произведено хлеба и хлебобулочных изделий: 338 тонн,</w:t>
      </w:r>
      <w:r w:rsidR="00741146">
        <w:rPr>
          <w:rFonts w:ascii="Times New Roman CYR" w:hAnsi="Times New Roman CYR" w:cs="Times New Roman CYR"/>
          <w:color w:val="000000"/>
          <w:sz w:val="28"/>
          <w:szCs w:val="28"/>
        </w:rPr>
        <w:t xml:space="preserve"> что на 1,84% ниже уровня 2016 года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 это связано с закрытием на ремонт п</w:t>
      </w:r>
      <w:r w:rsidR="003C1DEA">
        <w:rPr>
          <w:rFonts w:ascii="Times New Roman CYR" w:hAnsi="Times New Roman CYR" w:cs="Times New Roman CYR"/>
          <w:color w:val="000000"/>
          <w:sz w:val="28"/>
          <w:szCs w:val="28"/>
        </w:rPr>
        <w:t xml:space="preserve">редприятия ООО "Русский хлеб". </w:t>
      </w:r>
    </w:p>
    <w:p w:rsidR="00FB3E6F" w:rsidRPr="00497D71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FB3E6F" w:rsidRPr="003C1DEA" w:rsidRDefault="00FB3E6F" w:rsidP="00624575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C1DE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Сельское хозяйство</w:t>
      </w:r>
    </w:p>
    <w:p w:rsidR="003C1DEA" w:rsidRPr="003C1DEA" w:rsidRDefault="003C1DEA" w:rsidP="003C1DEA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города Боготола сельскохозяйс</w:t>
      </w:r>
      <w:r w:rsidR="003C1DEA">
        <w:rPr>
          <w:rFonts w:ascii="Times New Roman CYR" w:hAnsi="Times New Roman CYR" w:cs="Times New Roman CYR"/>
          <w:sz w:val="28"/>
          <w:szCs w:val="28"/>
        </w:rPr>
        <w:t>твенные организации отсутствуют п</w:t>
      </w:r>
      <w:r>
        <w:rPr>
          <w:rFonts w:ascii="Times New Roman CYR" w:hAnsi="Times New Roman CYR" w:cs="Times New Roman CYR"/>
          <w:sz w:val="28"/>
          <w:szCs w:val="28"/>
        </w:rPr>
        <w:t xml:space="preserve">о причине недостатка свободных земель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сельхозназначения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Показатели социально-экономического развития в разделе «Сельское хозяйство» представлены статистическими данными.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Выращивание овощных культур, картофеля, животноводство (разведение птиц, крупнорогатого скота, свиней) осуществляется исключительно личными подсобными хозяйствами, зарегистрированными на территории города Боготола.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 неизменном количестве ЛПХ и земель, занятых под осуществление их деятельности прогнозные значения объ</w:t>
      </w:r>
      <w:r w:rsidR="003C1DEA">
        <w:rPr>
          <w:rFonts w:ascii="Times New Roman CYR" w:hAnsi="Times New Roman CYR" w:cs="Times New Roman CYR"/>
          <w:sz w:val="28"/>
          <w:szCs w:val="28"/>
        </w:rPr>
        <w:t>ема производства в сфере растен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="003C1DEA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>водства (картофель, овощи) и животно</w:t>
      </w:r>
      <w:r w:rsidR="00741146">
        <w:rPr>
          <w:rFonts w:ascii="Times New Roman CYR" w:hAnsi="Times New Roman CYR" w:cs="Times New Roman CYR"/>
          <w:sz w:val="28"/>
          <w:szCs w:val="28"/>
        </w:rPr>
        <w:t>водства на период 2018-2021 годы</w:t>
      </w:r>
      <w:r>
        <w:rPr>
          <w:rFonts w:ascii="Times New Roman CYR" w:hAnsi="Times New Roman CYR" w:cs="Times New Roman CYR"/>
          <w:sz w:val="28"/>
          <w:szCs w:val="28"/>
        </w:rPr>
        <w:t xml:space="preserve"> увеличиваются от 0,4% до 3,1%. В 2017 году данный показатель составил 1</w:t>
      </w:r>
      <w:r w:rsidRPr="00FB3E6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 CYR" w:hAnsi="Times New Roman CYR" w:cs="Times New Roman CYR"/>
          <w:sz w:val="28"/>
          <w:szCs w:val="28"/>
        </w:rPr>
        <w:t>7 673 тыс. руб., в прогнозном периоде 2018</w:t>
      </w:r>
      <w:r w:rsidR="003C1DEA">
        <w:rPr>
          <w:rFonts w:ascii="Times New Roman CYR" w:hAnsi="Times New Roman CYR" w:cs="Times New Roman CYR"/>
          <w:sz w:val="28"/>
          <w:szCs w:val="28"/>
        </w:rPr>
        <w:t>-2021 годы 137979,0 тыс. руб. и</w:t>
      </w:r>
      <w:r>
        <w:rPr>
          <w:rFonts w:ascii="Times New Roman CYR" w:hAnsi="Times New Roman CYR" w:cs="Times New Roman CYR"/>
          <w:sz w:val="28"/>
          <w:szCs w:val="28"/>
        </w:rPr>
        <w:t xml:space="preserve"> 1</w:t>
      </w:r>
      <w:r w:rsidRPr="00FB3E6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 CYR" w:hAnsi="Times New Roman CYR" w:cs="Times New Roman CYR"/>
          <w:sz w:val="28"/>
          <w:szCs w:val="28"/>
        </w:rPr>
        <w:t>3635,0 тыс. руб. соответственно.</w:t>
      </w:r>
    </w:p>
    <w:p w:rsidR="00FB3E6F" w:rsidRDefault="00FB3E6F" w:rsidP="006245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Рост показателей обусловлен преимущественно повышением урожайности овощей и картофеля, </w:t>
      </w:r>
      <w:r w:rsidR="003C1DEA">
        <w:rPr>
          <w:rFonts w:ascii="Times New Roman CYR" w:hAnsi="Times New Roman CYR" w:cs="Times New Roman CYR"/>
          <w:sz w:val="28"/>
          <w:szCs w:val="28"/>
        </w:rPr>
        <w:t>поголовья крупнорогатого скота.</w:t>
      </w:r>
    </w:p>
    <w:p w:rsidR="00624575" w:rsidRPr="00624575" w:rsidRDefault="00624575" w:rsidP="006245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B3E6F" w:rsidRPr="003C1DEA" w:rsidRDefault="00FB3E6F" w:rsidP="00624575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3C1DEA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Строительство</w:t>
      </w:r>
    </w:p>
    <w:p w:rsidR="003C1DEA" w:rsidRPr="003C1DEA" w:rsidRDefault="003C1DEA" w:rsidP="003C1DEA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left="20" w:firstLine="70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На территории города Боготола строительство жилых и нежилых зданий осуществляет ООО "Русь". С 17.03.2017 года организация сменила адрес местонахождения юридического лица, зарегистрировавшись на территории города</w:t>
      </w:r>
      <w:r w:rsidR="00741146">
        <w:rPr>
          <w:rFonts w:ascii="Times New Roman CYR" w:hAnsi="Times New Roman CYR" w:cs="Times New Roman CYR"/>
          <w:sz w:val="28"/>
          <w:szCs w:val="28"/>
        </w:rPr>
        <w:t xml:space="preserve"> Красноярск</w:t>
      </w:r>
      <w:r>
        <w:rPr>
          <w:rFonts w:ascii="Times New Roman CYR" w:hAnsi="Times New Roman CYR" w:cs="Times New Roman CYR"/>
          <w:sz w:val="28"/>
          <w:szCs w:val="28"/>
        </w:rPr>
        <w:t xml:space="preserve">, в связи с чем сведений об объеме строительно-монтажных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работ, выполненных подрядным способом на территории города Боготола не имеется.</w:t>
      </w:r>
    </w:p>
    <w:p w:rsidR="00FB3E6F" w:rsidRDefault="00FB3E6F" w:rsidP="00741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Площадь введенных объектов торгового назначения в 2017 году составила – 51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 w:rsidR="00741146"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площадь объекта технического обслуживания и ремонта автотранспортных средств составила – 777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FB3E6F" w:rsidRPr="00624575" w:rsidRDefault="00FB3E6F" w:rsidP="007411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период 2018-2021 годы ожидается окончание строительства и ввод в эксплуатацию церкви, строящейся за счет пожертвований граждан и иных организаций. Планируется ввод в эксплуатацию базы лесозаготовки площадью около 160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 w:rsidR="00741146"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большого автозаправочного комплекса площадью 66 кв. метров, строящегося на месте </w:t>
      </w:r>
      <w:r w:rsidR="00741146">
        <w:rPr>
          <w:rFonts w:ascii="Times New Roman CYR" w:hAnsi="Times New Roman CYR" w:cs="Times New Roman CYR"/>
          <w:sz w:val="28"/>
          <w:szCs w:val="28"/>
          <w:u w:color="FF0000"/>
        </w:rPr>
        <w:t>снесенных бараков по программе п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ереселения</w:t>
      </w:r>
      <w:r w:rsidR="00741146">
        <w:rPr>
          <w:rFonts w:ascii="Times New Roman CYR" w:hAnsi="Times New Roman CYR" w:cs="Times New Roman CYR"/>
          <w:sz w:val="28"/>
          <w:szCs w:val="28"/>
          <w:u w:color="FF0000"/>
        </w:rPr>
        <w:t xml:space="preserve"> граждан из аварийного жилищного фонда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, и прочих мелких объектов, включая объекты торговли, общественного питания, отдыха и развл</w:t>
      </w:r>
      <w:r w:rsidR="003C1DEA">
        <w:rPr>
          <w:rFonts w:ascii="Times New Roman CYR" w:hAnsi="Times New Roman CYR" w:cs="Times New Roman CYR"/>
          <w:sz w:val="28"/>
          <w:szCs w:val="28"/>
          <w:u w:color="FF0000"/>
        </w:rPr>
        <w:t xml:space="preserve">ечений. </w:t>
      </w:r>
    </w:p>
    <w:p w:rsidR="00FB3E6F" w:rsidRPr="00497D71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color="FF0000"/>
        </w:rPr>
      </w:pPr>
      <w:r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FB3E6F" w:rsidRPr="003C1DEA" w:rsidRDefault="00624575" w:rsidP="00624575">
      <w:pPr>
        <w:pStyle w:val="a4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5.1. </w:t>
      </w:r>
      <w:r w:rsidR="00FB3E6F" w:rsidRPr="003C1DEA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Жилищное строительство</w:t>
      </w:r>
    </w:p>
    <w:p w:rsidR="003C1DEA" w:rsidRPr="003C1DEA" w:rsidRDefault="003C1DEA" w:rsidP="003C1DEA">
      <w:pPr>
        <w:pStyle w:val="a4"/>
        <w:autoSpaceDE w:val="0"/>
        <w:autoSpaceDN w:val="0"/>
        <w:adjustRightInd w:val="0"/>
        <w:spacing w:after="0" w:line="240" w:lineRule="auto"/>
        <w:ind w:left="1080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741146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</w:t>
      </w:r>
      <w:r w:rsidR="003C1DEA">
        <w:rPr>
          <w:rFonts w:ascii="Times New Roman CYR" w:hAnsi="Times New Roman CYR" w:cs="Times New Roman CYR"/>
          <w:sz w:val="28"/>
          <w:szCs w:val="28"/>
          <w:u w:color="FF0000"/>
        </w:rPr>
        <w:t xml:space="preserve"> 2017 го</w:t>
      </w:r>
      <w:r w:rsidR="00741146">
        <w:rPr>
          <w:rFonts w:ascii="Times New Roman CYR" w:hAnsi="Times New Roman CYR" w:cs="Times New Roman CYR"/>
          <w:sz w:val="28"/>
          <w:szCs w:val="28"/>
          <w:u w:color="FF0000"/>
        </w:rPr>
        <w:t>ду на территории города Боготол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введен в эксплуатацию 1 малоэтажный многоквартирный дом построенный застройщико</w:t>
      </w:r>
      <w:r w:rsidR="00741146">
        <w:rPr>
          <w:rFonts w:ascii="Times New Roman CYR" w:hAnsi="Times New Roman CYR" w:cs="Times New Roman CYR"/>
          <w:sz w:val="28"/>
          <w:szCs w:val="28"/>
          <w:u w:color="FF0000"/>
        </w:rPr>
        <w:t xml:space="preserve">м за счет собственных средств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общей площадью 974,5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 w:rsidR="00741146"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и 1824,5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 w:rsidR="00BE3FC6"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общей площади индивидуальных жилых домов, построенных населением за свой счет, а также с использованием средств материнского капитала.</w:t>
      </w:r>
    </w:p>
    <w:p w:rsidR="00FB3E6F" w:rsidRDefault="00FB3E6F" w:rsidP="00741146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Общая площадь жилых зданий, введенных в действие за 2017 год составила 2799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FB3E6F" w:rsidRDefault="00FB3E6F" w:rsidP="00741146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Уменьшение показателя </w:t>
      </w:r>
      <w:r w:rsidR="00741146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по сравнению с уровнем 2016 года,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связано с тем, что в 2017 году участие территории муниципально</w:t>
      </w:r>
      <w:r w:rsidR="00741146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го образования город Боготол в п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рограмме по переселению граждан </w:t>
      </w:r>
      <w:r w:rsidR="00741146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из аварийного жилищного фонда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завершено. Многоквартирное жилищное строительство на территории</w:t>
      </w:r>
      <w:r w:rsidR="003C1DEA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 города Боготола не ведется, </w:t>
      </w:r>
      <w:r w:rsidR="00741146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ввиду отсутствия востребованности.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Сданный в эксплуатацию в 2017 году 8-ми квартирный жилой дом построен застройщиком за счет собственных средств. В 2018 году многоквартирное жилищное ст</w:t>
      </w:r>
      <w:r w:rsidR="00406581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роительство не планируется.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При ус</w:t>
      </w:r>
      <w:r w:rsidR="00406581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ловии разработки и утверждения п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рограммы по переселению граждан из жилых домов, признанных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установленном порядке аварийными после 2012 года, с 2018-2019 года ожидается строительство и ввод в эксплуатацию 2 многоэтажных домов в рамках новой </w:t>
      </w:r>
      <w:r w:rsidR="00406581" w:rsidRPr="00406581">
        <w:rPr>
          <w:rFonts w:ascii="Times New Roman CYR" w:hAnsi="Times New Roman CYR" w:cs="Times New Roman CYR"/>
          <w:bCs/>
          <w:sz w:val="28"/>
          <w:szCs w:val="28"/>
          <w:u w:color="FF0000"/>
        </w:rPr>
        <w:t>п</w:t>
      </w:r>
      <w:r w:rsidRPr="00406581">
        <w:rPr>
          <w:rFonts w:ascii="Times New Roman CYR" w:hAnsi="Times New Roman CYR" w:cs="Times New Roman CYR"/>
          <w:bCs/>
          <w:sz w:val="28"/>
          <w:szCs w:val="28"/>
          <w:u w:color="FF0000"/>
        </w:rPr>
        <w:t>рограммы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по переселению граждан.</w:t>
      </w:r>
    </w:p>
    <w:p w:rsidR="00FB3E6F" w:rsidRDefault="00FB3E6F" w:rsidP="00BE3F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Площадь введенных объектов торгового на</w:t>
      </w:r>
      <w:r w:rsidR="00DF67E8">
        <w:rPr>
          <w:rFonts w:ascii="Times New Roman CYR" w:hAnsi="Times New Roman CYR" w:cs="Times New Roman CYR"/>
          <w:sz w:val="28"/>
          <w:szCs w:val="28"/>
          <w:u w:color="FF0000"/>
        </w:rPr>
        <w:t>значения в 2017 году составила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51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 w:rsidR="00BE3FC6"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, площадь объекта технического обслуживания и ремонта ав</w:t>
      </w:r>
      <w:r w:rsidR="00DF67E8">
        <w:rPr>
          <w:rFonts w:ascii="Times New Roman CYR" w:hAnsi="Times New Roman CYR" w:cs="Times New Roman CYR"/>
          <w:sz w:val="28"/>
          <w:szCs w:val="28"/>
          <w:u w:color="FF0000"/>
        </w:rPr>
        <w:t>тотранспортных средств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– 777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FB3E6F" w:rsidRDefault="00FB3E6F" w:rsidP="00BE3F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Ввиду отсутствия многоквартирного строительства на территории города, ввод жилья в 2018 году составит около 3000,0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 w:rsidR="00BE3FC6"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– за счет индивидуального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жилищного строительства. Площадь введенных объектов нежилого назначе</w:t>
      </w:r>
      <w:r w:rsidR="00BE3FC6">
        <w:rPr>
          <w:rFonts w:ascii="Times New Roman CYR" w:hAnsi="Times New Roman CYR" w:cs="Times New Roman CYR"/>
          <w:sz w:val="28"/>
          <w:szCs w:val="28"/>
          <w:u w:color="FF0000"/>
        </w:rPr>
        <w:t xml:space="preserve">ния составит около 600 </w:t>
      </w:r>
      <w:proofErr w:type="spellStart"/>
      <w:r w:rsidR="00BE3FC6"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FB3E6F" w:rsidRDefault="00FB3E6F" w:rsidP="00DF67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Снижение показателя «Общая площадь индивидуальных жилых домов, введенных в эксплуатации и построенных населением за свой счет и (или) с помощью кредитов» обусловлено тем, что перспективные площадки для развития и строительства по состоянию на 2017 год переданы для освоения, а вовлечение в оборот новых уч</w:t>
      </w:r>
      <w:r w:rsidR="00DF67E8">
        <w:rPr>
          <w:rFonts w:ascii="Times New Roman CYR" w:hAnsi="Times New Roman CYR" w:cs="Times New Roman CYR"/>
          <w:sz w:val="28"/>
          <w:szCs w:val="28"/>
          <w:u w:color="FF0000"/>
        </w:rPr>
        <w:t>астков снижается, ввиду их мало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привлекательного состояния (заболоченность, отдаленность от центральной части города).</w:t>
      </w:r>
    </w:p>
    <w:p w:rsidR="00FB3E6F" w:rsidRDefault="00FB3E6F" w:rsidP="00DF67E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период 2018-2020 годы ожидается окончание строительства и ввод в эксплуатацию церкви, строящейся за счет пожертвований граждан и иных организаций. Планируется ввод в эксплуатацию базы лесозаготовки площадью около 160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 w:rsidR="00DF67E8"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большого автозаправочного </w:t>
      </w:r>
      <w:r w:rsidR="00DF67E8">
        <w:rPr>
          <w:rFonts w:ascii="Times New Roman CYR" w:hAnsi="Times New Roman CYR" w:cs="Times New Roman CYR"/>
          <w:sz w:val="28"/>
          <w:szCs w:val="28"/>
          <w:u w:color="FF0000"/>
        </w:rPr>
        <w:t>комплекса площадью 66 кв. м.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строящегося на месте </w:t>
      </w:r>
      <w:r w:rsidR="00DF67E8">
        <w:rPr>
          <w:rFonts w:ascii="Times New Roman CYR" w:hAnsi="Times New Roman CYR" w:cs="Times New Roman CYR"/>
          <w:sz w:val="28"/>
          <w:szCs w:val="28"/>
          <w:u w:color="FF0000"/>
        </w:rPr>
        <w:t>снесенных бараков по программе п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ереселения, и прочих мелких объектов, включая объекты торговли, общественного </w:t>
      </w:r>
      <w:r w:rsidR="003C1DEA">
        <w:rPr>
          <w:rFonts w:ascii="Times New Roman CYR" w:hAnsi="Times New Roman CYR" w:cs="Times New Roman CYR"/>
          <w:sz w:val="28"/>
          <w:szCs w:val="28"/>
          <w:u w:color="FF0000"/>
        </w:rPr>
        <w:t xml:space="preserve">питания, отдыха и развлечений. </w:t>
      </w:r>
    </w:p>
    <w:p w:rsidR="00FB3E6F" w:rsidRPr="003439A6" w:rsidRDefault="00FB3E6F" w:rsidP="003439A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Показатель «Площадь земельных участков, предоставленных для строит</w:t>
      </w:r>
      <w:r w:rsidR="00DF67E8">
        <w:rPr>
          <w:rFonts w:ascii="Times New Roman CYR" w:hAnsi="Times New Roman CYR" w:cs="Times New Roman CYR"/>
          <w:sz w:val="28"/>
          <w:szCs w:val="28"/>
          <w:u w:color="FF0000"/>
        </w:rPr>
        <w:t>ельства» за 2017 год составил 2,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7 га за</w:t>
      </w:r>
      <w:r w:rsidR="003C1DEA">
        <w:rPr>
          <w:rFonts w:ascii="Times New Roman CYR" w:hAnsi="Times New Roman CYR" w:cs="Times New Roman CYR"/>
          <w:sz w:val="28"/>
          <w:szCs w:val="28"/>
          <w:u w:color="FF0000"/>
        </w:rPr>
        <w:t xml:space="preserve"> счет предоставления земельных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участков бесплатно в собственность многодетных граждан. В 2018 году ожида</w:t>
      </w:r>
      <w:r w:rsidR="00DF67E8">
        <w:rPr>
          <w:rFonts w:ascii="Times New Roman CYR" w:hAnsi="Times New Roman CYR" w:cs="Times New Roman CYR"/>
          <w:sz w:val="28"/>
          <w:szCs w:val="28"/>
          <w:u w:color="FF0000"/>
        </w:rPr>
        <w:t>ется предоставление еще около 2,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0 га сформированных земельных участков бесплатно в собственность многодетных граждан и продажи земельных участков для ИЖС по результатам торгов, освобожденных после сноса расселенных аварийных домов, за счет чего ожидается увеличение показателя.</w:t>
      </w:r>
    </w:p>
    <w:p w:rsidR="00FB3E6F" w:rsidRPr="00497D71" w:rsidRDefault="00FB3E6F" w:rsidP="00624575">
      <w:pPr>
        <w:pStyle w:val="a3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u w:color="FF0000"/>
        </w:rPr>
        <w:t xml:space="preserve"> </w:t>
      </w:r>
    </w:p>
    <w:p w:rsidR="00FB3E6F" w:rsidRDefault="00FB3E6F" w:rsidP="00624575">
      <w:pPr>
        <w:pStyle w:val="a3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color="FF0000"/>
        </w:rPr>
      </w:pPr>
      <w:r w:rsidRPr="00624575">
        <w:rPr>
          <w:rFonts w:ascii="Times New Roman" w:hAnsi="Times New Roman" w:cs="Times New Roman"/>
          <w:b/>
          <w:bCs/>
          <w:color w:val="000000"/>
          <w:sz w:val="28"/>
          <w:szCs w:val="28"/>
          <w:u w:color="FF0000"/>
        </w:rPr>
        <w:t>Инвестиции</w:t>
      </w:r>
    </w:p>
    <w:p w:rsidR="00624575" w:rsidRPr="00624575" w:rsidRDefault="00624575" w:rsidP="00624575">
      <w:pPr>
        <w:pStyle w:val="a3"/>
        <w:ind w:left="720"/>
        <w:rPr>
          <w:rFonts w:ascii="Times New Roman" w:hAnsi="Times New Roman" w:cs="Times New Roman"/>
          <w:b/>
          <w:bCs/>
          <w:color w:val="000000"/>
          <w:sz w:val="28"/>
          <w:szCs w:val="28"/>
          <w:u w:color="FF0000"/>
        </w:rPr>
      </w:pPr>
    </w:p>
    <w:p w:rsidR="001D1FD5" w:rsidRDefault="00FB3E6F" w:rsidP="00624575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u w:color="FF0000"/>
        </w:rPr>
      </w:pPr>
      <w:r w:rsidRPr="00624575">
        <w:rPr>
          <w:rFonts w:ascii="Times New Roman" w:hAnsi="Times New Roman" w:cs="Times New Roman"/>
          <w:color w:val="000000"/>
          <w:sz w:val="28"/>
          <w:szCs w:val="28"/>
          <w:u w:color="FF0000"/>
        </w:rPr>
        <w:t>Инвестиции в основной капитал это в первую очередь строительство новых объектов, реконструкция и модернизация существующих производств</w:t>
      </w:r>
      <w:r w:rsidR="001D1FD5">
        <w:rPr>
          <w:rFonts w:ascii="Times New Roman" w:hAnsi="Times New Roman" w:cs="Times New Roman"/>
          <w:color w:val="000000"/>
          <w:sz w:val="28"/>
          <w:szCs w:val="28"/>
          <w:u w:color="FF0000"/>
        </w:rPr>
        <w:t xml:space="preserve">. </w:t>
      </w:r>
    </w:p>
    <w:p w:rsidR="00624575" w:rsidRDefault="00FB3E6F" w:rsidP="0062457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624575">
        <w:rPr>
          <w:rFonts w:ascii="Times New Roman" w:hAnsi="Times New Roman" w:cs="Times New Roman"/>
          <w:sz w:val="28"/>
          <w:szCs w:val="28"/>
          <w:u w:color="FF0000"/>
        </w:rPr>
        <w:t>Одним из важнейших аспектов социально-экономической политики муниципального образования</w:t>
      </w:r>
      <w:r w:rsidR="001D1FD5">
        <w:rPr>
          <w:rFonts w:ascii="Times New Roman" w:hAnsi="Times New Roman" w:cs="Times New Roman"/>
          <w:sz w:val="28"/>
          <w:szCs w:val="28"/>
          <w:u w:color="FF0000"/>
        </w:rPr>
        <w:t>,</w:t>
      </w:r>
      <w:r w:rsidRPr="00624575">
        <w:rPr>
          <w:rFonts w:ascii="Times New Roman" w:hAnsi="Times New Roman" w:cs="Times New Roman"/>
          <w:sz w:val="28"/>
          <w:szCs w:val="28"/>
          <w:u w:color="FF0000"/>
        </w:rPr>
        <w:t xml:space="preserve"> тем ее действенным рычагом является инвестиционная политика, предполагающая целенаправленное распределение инвестиционных ресурсов между секторами экономики (промышленность и энергетика, транспорт и связь, образование и здравоохранение, культура и т.д.).</w:t>
      </w:r>
    </w:p>
    <w:p w:rsidR="00FB3E6F" w:rsidRPr="00624575" w:rsidRDefault="00FB3E6F" w:rsidP="0062457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 w:rsidRPr="00624575">
        <w:rPr>
          <w:rFonts w:ascii="Times New Roman" w:hAnsi="Times New Roman" w:cs="Times New Roman"/>
          <w:sz w:val="28"/>
          <w:szCs w:val="28"/>
          <w:u w:color="FF0000"/>
        </w:rPr>
        <w:t>В 2017 году на основании статистических данных, представленных для формирования социально-экономического прогноза, объем инвестиций по территории муниципального образования город</w:t>
      </w:r>
      <w:r w:rsidR="001D1FD5">
        <w:rPr>
          <w:rFonts w:ascii="Times New Roman" w:hAnsi="Times New Roman" w:cs="Times New Roman"/>
          <w:sz w:val="28"/>
          <w:szCs w:val="28"/>
          <w:u w:color="FF0000"/>
        </w:rPr>
        <w:t xml:space="preserve"> Боготол составил</w:t>
      </w:r>
      <w:r w:rsidRPr="00624575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1D1FD5">
        <w:rPr>
          <w:rFonts w:ascii="Times New Roman" w:hAnsi="Times New Roman" w:cs="Times New Roman"/>
          <w:bCs/>
          <w:sz w:val="28"/>
          <w:szCs w:val="28"/>
          <w:u w:color="FF0000"/>
        </w:rPr>
        <w:t>165 619,</w:t>
      </w:r>
      <w:r w:rsidRPr="00F61F31">
        <w:rPr>
          <w:rFonts w:ascii="Times New Roman" w:hAnsi="Times New Roman" w:cs="Times New Roman"/>
          <w:bCs/>
          <w:sz w:val="28"/>
          <w:szCs w:val="28"/>
          <w:u w:color="FF0000"/>
        </w:rPr>
        <w:t>32</w:t>
      </w:r>
      <w:r w:rsidR="00624575" w:rsidRPr="00F61F31">
        <w:rPr>
          <w:rFonts w:ascii="Times New Roman" w:hAnsi="Times New Roman" w:cs="Times New Roman"/>
          <w:bCs/>
          <w:sz w:val="28"/>
          <w:szCs w:val="28"/>
          <w:u w:color="FF0000"/>
        </w:rPr>
        <w:t xml:space="preserve"> </w:t>
      </w:r>
      <w:r w:rsidRPr="00F61F31">
        <w:rPr>
          <w:rFonts w:ascii="Times New Roman" w:hAnsi="Times New Roman" w:cs="Times New Roman"/>
          <w:sz w:val="28"/>
          <w:szCs w:val="28"/>
          <w:u w:color="FF0000"/>
        </w:rPr>
        <w:t>тыс</w:t>
      </w:r>
      <w:r w:rsidRPr="00624575">
        <w:rPr>
          <w:rFonts w:ascii="Times New Roman" w:hAnsi="Times New Roman" w:cs="Times New Roman"/>
          <w:sz w:val="28"/>
          <w:szCs w:val="28"/>
          <w:u w:color="FF0000"/>
        </w:rPr>
        <w:t xml:space="preserve">. рублей, что на 44,72 % ниже уровня 2016 года. </w:t>
      </w:r>
    </w:p>
    <w:p w:rsidR="00FB3E6F" w:rsidRPr="00624575" w:rsidRDefault="00FB3E6F" w:rsidP="00F61F31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u w:color="FF0000"/>
        </w:rPr>
      </w:pPr>
      <w:r w:rsidRPr="00624575">
        <w:rPr>
          <w:rFonts w:ascii="Times New Roman" w:hAnsi="Times New Roman" w:cs="Times New Roman"/>
          <w:sz w:val="28"/>
          <w:szCs w:val="28"/>
          <w:u w:color="FF0000"/>
        </w:rPr>
        <w:t xml:space="preserve">Основной объем инвестиций города формируется за счет вида экономической деятельности «Обеспечение электрической энергией газом и паром, кондиционирование воздуха». В 2017 году их уровень возрос на 319,4 % в сопоставимых ценах относительно прошлого года (или на 41,3 млн). На «Обрабатывающие производства» инвестиций приходится 20 755,0 тыс. руб. (или </w:t>
      </w:r>
      <w:r w:rsidRPr="00624575">
        <w:rPr>
          <w:rFonts w:ascii="Times New Roman" w:hAnsi="Times New Roman" w:cs="Times New Roman"/>
          <w:sz w:val="28"/>
          <w:szCs w:val="28"/>
          <w:u w:color="FF0000"/>
        </w:rPr>
        <w:lastRenderedPageBreak/>
        <w:t xml:space="preserve">12,9 %), что выше уровня 2016 года на 2,4%. По отрасли «Транспортировка и хранение» объем инвестиций в 2017 году составил 26 626 тыс. руб. (или 16,58%), что на 161,9% выше прошлого периода. </w:t>
      </w:r>
    </w:p>
    <w:p w:rsidR="00FB3E6F" w:rsidRPr="00624575" w:rsidRDefault="00FB3E6F" w:rsidP="00624575">
      <w:pPr>
        <w:pStyle w:val="a3"/>
        <w:ind w:firstLine="567"/>
        <w:jc w:val="both"/>
        <w:rPr>
          <w:rFonts w:ascii="Times New Roman" w:hAnsi="Times New Roman" w:cs="Times New Roman"/>
          <w:sz w:val="16"/>
          <w:szCs w:val="16"/>
          <w:u w:color="FF0000"/>
        </w:rPr>
      </w:pPr>
      <w:r w:rsidRPr="00624575">
        <w:rPr>
          <w:rFonts w:ascii="Times New Roman" w:hAnsi="Times New Roman" w:cs="Times New Roman"/>
          <w:sz w:val="28"/>
          <w:szCs w:val="28"/>
          <w:u w:color="FF0000"/>
        </w:rPr>
        <w:t>Изменения объема инвестиций на плановый период 2018-2020 годы наблюдается за счет инвестиционного проекта в рамках государственной программы Красноярского края «Развитие образования» Строительство средней общеобразовательной школы на 550 учащихся в городе Боготоле.</w:t>
      </w:r>
    </w:p>
    <w:p w:rsidR="00624575" w:rsidRPr="00624575" w:rsidRDefault="00624575" w:rsidP="000D0465">
      <w:pPr>
        <w:pStyle w:val="a3"/>
        <w:jc w:val="both"/>
        <w:rPr>
          <w:rFonts w:ascii="Times New Roman" w:hAnsi="Times New Roman" w:cs="Times New Roman"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 CYR" w:hAnsi="Times New Roman CYR" w:cs="Times New Roman CYR"/>
          <w:bCs/>
          <w:i/>
          <w:sz w:val="28"/>
          <w:szCs w:val="28"/>
          <w:u w:color="FF0000"/>
        </w:rPr>
      </w:pPr>
      <w:r w:rsidRPr="00624575">
        <w:rPr>
          <w:rFonts w:ascii="Times New Roman CYR" w:hAnsi="Times New Roman CYR" w:cs="Times New Roman CYR"/>
          <w:bCs/>
          <w:i/>
          <w:sz w:val="28"/>
          <w:szCs w:val="28"/>
          <w:u w:color="FF0000"/>
        </w:rPr>
        <w:t xml:space="preserve">Объем инвестиций в основной капитал (за исключением бюджетных </w:t>
      </w:r>
      <w:r w:rsidR="00624575" w:rsidRPr="00624575">
        <w:rPr>
          <w:rFonts w:ascii="Times New Roman CYR" w:hAnsi="Times New Roman CYR" w:cs="Times New Roman CYR"/>
          <w:bCs/>
          <w:i/>
          <w:sz w:val="28"/>
          <w:szCs w:val="28"/>
          <w:u w:color="FF0000"/>
        </w:rPr>
        <w:t>средств) в расчете на 1 жителя</w:t>
      </w:r>
    </w:p>
    <w:p w:rsidR="00624575" w:rsidRPr="00624575" w:rsidRDefault="00624575" w:rsidP="00FB3E6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 CYR" w:hAnsi="Times New Roman CYR" w:cs="Times New Roman CYR"/>
          <w:bCs/>
          <w:i/>
          <w:sz w:val="28"/>
          <w:szCs w:val="28"/>
          <w:u w:color="FF0000"/>
        </w:rPr>
      </w:pPr>
    </w:p>
    <w:tbl>
      <w:tblPr>
        <w:tblW w:w="974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134"/>
        <w:gridCol w:w="1275"/>
        <w:gridCol w:w="1246"/>
        <w:gridCol w:w="1163"/>
        <w:gridCol w:w="1277"/>
      </w:tblGrid>
      <w:tr w:rsidR="00FB3E6F" w:rsidTr="00624575">
        <w:trPr>
          <w:trHeight w:val="675"/>
        </w:trPr>
        <w:tc>
          <w:tcPr>
            <w:tcW w:w="3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2017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отчет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2018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оценка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2019 прогноз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2020 прогноз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2021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прогноз</w:t>
            </w:r>
          </w:p>
        </w:tc>
      </w:tr>
      <w:tr w:rsidR="00FB3E6F" w:rsidTr="00624575">
        <w:trPr>
          <w:trHeight w:val="330"/>
        </w:trPr>
        <w:tc>
          <w:tcPr>
            <w:tcW w:w="3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 xml:space="preserve">Объем инвестиций в основной капитал всего </w:t>
            </w:r>
            <w:proofErr w:type="spellStart"/>
            <w:r>
              <w:rPr>
                <w:rFonts w:ascii="Times New Roman CYR" w:hAnsi="Times New Roman CYR" w:cs="Times New Roman CYR"/>
                <w:u w:color="FF0000"/>
              </w:rPr>
              <w:t>тыс.рублей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160908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1681</w:t>
            </w:r>
            <w:r>
              <w:rPr>
                <w:rFonts w:ascii="Times New Roman" w:hAnsi="Times New Roman" w:cs="Times New Roman"/>
                <w:u w:color="FF0000"/>
                <w:lang w:val="en-US"/>
              </w:rPr>
              <w:t>2</w:t>
            </w:r>
            <w:r>
              <w:rPr>
                <w:rFonts w:ascii="Times New Roman CYR" w:hAnsi="Times New Roman CYR" w:cs="Times New Roman CYR"/>
                <w:u w:color="FF0000"/>
              </w:rPr>
              <w:t>8,88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581623,44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274918,</w:t>
            </w:r>
            <w:r>
              <w:rPr>
                <w:rFonts w:ascii="Times New Roman" w:hAnsi="Times New Roman" w:cs="Times New Roman"/>
                <w:u w:color="FF0000"/>
                <w:lang w:val="en-US"/>
              </w:rPr>
              <w:t>79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183680,46</w:t>
            </w:r>
          </w:p>
        </w:tc>
      </w:tr>
      <w:tr w:rsidR="00FB3E6F" w:rsidTr="00624575">
        <w:trPr>
          <w:trHeight w:val="525"/>
        </w:trPr>
        <w:tc>
          <w:tcPr>
            <w:tcW w:w="3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Из них бюджетные средства, в том числе: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42644,0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4456</w:t>
            </w:r>
            <w:r>
              <w:rPr>
                <w:rFonts w:ascii="Times New Roman" w:hAnsi="Times New Roman" w:cs="Times New Roman"/>
                <w:u w:color="FF0000"/>
                <w:lang w:val="en-US"/>
              </w:rPr>
              <w:t>3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464723,76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166286,0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76204,91</w:t>
            </w:r>
          </w:p>
        </w:tc>
      </w:tr>
      <w:tr w:rsidR="00FB3E6F" w:rsidTr="00624575">
        <w:trPr>
          <w:trHeight w:val="270"/>
        </w:trPr>
        <w:tc>
          <w:tcPr>
            <w:tcW w:w="3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" w:hAnsi="Times New Roman" w:cs="Times New Roman"/>
                <w:u w:color="FF0000"/>
                <w:lang w:val="en-US"/>
              </w:rPr>
              <w:t>404.0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0</w:t>
            </w:r>
          </w:p>
        </w:tc>
      </w:tr>
      <w:tr w:rsidR="00FB3E6F" w:rsidTr="00624575">
        <w:trPr>
          <w:trHeight w:val="285"/>
        </w:trPr>
        <w:tc>
          <w:tcPr>
            <w:tcW w:w="3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3</w:t>
            </w:r>
            <w:r>
              <w:rPr>
                <w:rFonts w:ascii="Times New Roman" w:hAnsi="Times New Roman" w:cs="Times New Roman"/>
                <w:u w:color="FF0000"/>
                <w:lang w:val="en-US"/>
              </w:rPr>
              <w:t>0906</w:t>
            </w:r>
            <w:r>
              <w:rPr>
                <w:rFonts w:ascii="Times New Roman CYR" w:hAnsi="Times New Roman CYR" w:cs="Times New Roman CYR"/>
                <w:u w:color="FF0000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33752,0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423200,0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110000,0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12000</w:t>
            </w:r>
          </w:p>
        </w:tc>
      </w:tr>
      <w:tr w:rsidR="00FB3E6F" w:rsidTr="00624575">
        <w:tc>
          <w:tcPr>
            <w:tcW w:w="3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11334,0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10811,0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41523,76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56286,0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64204,91</w:t>
            </w:r>
          </w:p>
        </w:tc>
      </w:tr>
      <w:tr w:rsidR="00FB3E6F" w:rsidTr="00624575">
        <w:tc>
          <w:tcPr>
            <w:tcW w:w="3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 xml:space="preserve">Объем инвестиций без бюджетных средств, </w:t>
            </w:r>
            <w:proofErr w:type="spellStart"/>
            <w:r>
              <w:rPr>
                <w:rFonts w:ascii="Times New Roman CYR" w:hAnsi="Times New Roman CYR" w:cs="Times New Roman CYR"/>
                <w:u w:color="FF0000"/>
              </w:rPr>
              <w:t>тыс.рублей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118264,0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123565,</w:t>
            </w:r>
            <w:r>
              <w:rPr>
                <w:rFonts w:ascii="Times New Roman" w:hAnsi="Times New Roman" w:cs="Times New Roman"/>
                <w:u w:color="FF0000"/>
                <w:lang w:val="en-US"/>
              </w:rPr>
              <w:t>88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116899,68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108632,</w:t>
            </w:r>
            <w:r>
              <w:rPr>
                <w:rFonts w:ascii="Times New Roman" w:hAnsi="Times New Roman" w:cs="Times New Roman"/>
                <w:u w:color="FF0000"/>
                <w:lang w:val="en-US"/>
              </w:rPr>
              <w:t>79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107475,55</w:t>
            </w:r>
          </w:p>
        </w:tc>
      </w:tr>
      <w:tr w:rsidR="00FB3E6F" w:rsidTr="00624575">
        <w:tc>
          <w:tcPr>
            <w:tcW w:w="3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 xml:space="preserve">Среднегодовая численность населения, </w:t>
            </w:r>
            <w:proofErr w:type="spellStart"/>
            <w:r>
              <w:rPr>
                <w:rFonts w:ascii="Times New Roman CYR" w:hAnsi="Times New Roman CYR" w:cs="Times New Roman CYR"/>
                <w:u w:color="FF0000"/>
              </w:rPr>
              <w:t>тыс.рублей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20132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19921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19735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19570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19325</w:t>
            </w:r>
          </w:p>
        </w:tc>
      </w:tr>
      <w:tr w:rsidR="00FB3E6F" w:rsidTr="00624575">
        <w:tc>
          <w:tcPr>
            <w:tcW w:w="3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Объем инвестиций (без бюджетных средств) на 1 жителя,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5874,4</w:t>
            </w:r>
            <w:r>
              <w:rPr>
                <w:rFonts w:ascii="Times New Roman" w:hAnsi="Times New Roman" w:cs="Times New Roman"/>
                <w:u w:color="FF0000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620</w:t>
            </w:r>
            <w:r>
              <w:rPr>
                <w:rFonts w:ascii="Times New Roman" w:hAnsi="Times New Roman" w:cs="Times New Roman"/>
                <w:u w:color="FF0000"/>
                <w:lang w:val="en-US"/>
              </w:rPr>
              <w:t>2</w:t>
            </w:r>
            <w:r>
              <w:rPr>
                <w:rFonts w:ascii="Times New Roman CYR" w:hAnsi="Times New Roman CYR" w:cs="Times New Roman CYR"/>
                <w:u w:color="FF0000"/>
              </w:rPr>
              <w:t>,</w:t>
            </w:r>
            <w:r>
              <w:rPr>
                <w:rFonts w:ascii="Times New Roman" w:hAnsi="Times New Roman" w:cs="Times New Roman"/>
                <w:u w:color="FF0000"/>
                <w:lang w:val="en-US"/>
              </w:rPr>
              <w:t>8</w:t>
            </w: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5923,47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5550,99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u w:color="FF0000"/>
              </w:rPr>
            </w:pPr>
            <w:r>
              <w:rPr>
                <w:rFonts w:ascii="Times New Roman CYR" w:hAnsi="Times New Roman CYR" w:cs="Times New Roman CYR"/>
                <w:u w:color="FF0000"/>
              </w:rPr>
              <w:t>5561,48</w:t>
            </w:r>
          </w:p>
        </w:tc>
      </w:tr>
    </w:tbl>
    <w:p w:rsidR="00FB3E6F" w:rsidRDefault="00FB3E6F" w:rsidP="00FB3E6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Default="00FB3E6F" w:rsidP="008F021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Объем инвестиций (без бюджетных средств) на 1 жителя в 2017 году составил 5874,4</w:t>
      </w:r>
      <w:r w:rsidRPr="009D674E">
        <w:rPr>
          <w:rFonts w:ascii="Times New Roman" w:hAnsi="Times New Roman" w:cs="Times New Roman"/>
          <w:sz w:val="28"/>
          <w:szCs w:val="28"/>
          <w:u w:color="FF0000"/>
        </w:rPr>
        <w:t>0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рубля, что </w:t>
      </w:r>
      <w:r w:rsidR="007562ED">
        <w:rPr>
          <w:rFonts w:ascii="Times New Roman CYR" w:hAnsi="Times New Roman CYR" w:cs="Times New Roman CYR"/>
          <w:sz w:val="28"/>
          <w:szCs w:val="28"/>
          <w:u w:color="FF0000"/>
        </w:rPr>
        <w:t xml:space="preserve">в 2 раза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выше </w:t>
      </w:r>
      <w:r w:rsidR="007562ED">
        <w:rPr>
          <w:rFonts w:ascii="Times New Roman CYR" w:hAnsi="Times New Roman CYR" w:cs="Times New Roman CYR"/>
          <w:sz w:val="28"/>
          <w:szCs w:val="28"/>
          <w:u w:color="FF0000"/>
        </w:rPr>
        <w:t xml:space="preserve">уровня 2016 года. </w:t>
      </w:r>
    </w:p>
    <w:p w:rsidR="000D0465" w:rsidRDefault="000D0465" w:rsidP="00FB3E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0D0465" w:rsidRDefault="000D0465" w:rsidP="000D046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  <w:r>
        <w:rPr>
          <w:rFonts w:ascii="Times New Roman" w:hAnsi="Times New Roman" w:cs="Times New Roman"/>
          <w:b/>
          <w:bCs/>
          <w:sz w:val="28"/>
          <w:szCs w:val="28"/>
          <w:u w:color="FF0000"/>
        </w:rPr>
        <w:t xml:space="preserve">6.1. </w:t>
      </w:r>
      <w:r w:rsidRPr="00624575">
        <w:rPr>
          <w:rFonts w:ascii="Times New Roman" w:hAnsi="Times New Roman" w:cs="Times New Roman"/>
          <w:b/>
          <w:bCs/>
          <w:sz w:val="28"/>
          <w:szCs w:val="28"/>
          <w:u w:color="FF0000"/>
        </w:rPr>
        <w:t>Инвестиционная деятельнос</w:t>
      </w:r>
      <w:r>
        <w:rPr>
          <w:rFonts w:ascii="Times New Roman" w:hAnsi="Times New Roman" w:cs="Times New Roman"/>
          <w:b/>
          <w:bCs/>
          <w:sz w:val="28"/>
          <w:szCs w:val="28"/>
          <w:u w:color="FF0000"/>
        </w:rPr>
        <w:t>ть средних и малых предприятий</w:t>
      </w:r>
    </w:p>
    <w:p w:rsidR="000D0465" w:rsidRPr="00624575" w:rsidRDefault="000D0465" w:rsidP="000D046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u w:color="FF0000"/>
        </w:rPr>
      </w:pPr>
    </w:p>
    <w:p w:rsidR="00E711F8" w:rsidRDefault="00E711F8" w:rsidP="00E711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>В 2017 году объем инвестиций, связанный с расходами субъектов малого бизнеса на приобретение нового оборудования в целях развития либо модернизации производства товаров (работ, услуг) составил 4373,88 тыс. руб.</w:t>
      </w:r>
    </w:p>
    <w:p w:rsidR="000D0465" w:rsidRDefault="00E711F8" w:rsidP="000D046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u w:color="FF0000"/>
        </w:rPr>
      </w:pPr>
      <w:r>
        <w:rPr>
          <w:rFonts w:ascii="Times New Roman" w:hAnsi="Times New Roman" w:cs="Times New Roman"/>
          <w:sz w:val="28"/>
          <w:szCs w:val="28"/>
          <w:u w:color="FF0000"/>
        </w:rPr>
        <w:t>Также в 2017 году с</w:t>
      </w:r>
      <w:r w:rsidR="000D0465" w:rsidRPr="00624575">
        <w:rPr>
          <w:rFonts w:ascii="Times New Roman" w:hAnsi="Times New Roman" w:cs="Times New Roman"/>
          <w:sz w:val="28"/>
          <w:szCs w:val="28"/>
          <w:u w:color="FF0000"/>
        </w:rPr>
        <w:t xml:space="preserve">убъектом малого предпринимательства введено в эксплуатацию </w:t>
      </w:r>
      <w:r w:rsidR="007562ED">
        <w:rPr>
          <w:rFonts w:ascii="Times New Roman" w:hAnsi="Times New Roman" w:cs="Times New Roman"/>
          <w:sz w:val="28"/>
          <w:szCs w:val="28"/>
          <w:u w:color="FF0000"/>
        </w:rPr>
        <w:t xml:space="preserve">1 </w:t>
      </w:r>
      <w:r w:rsidR="000D0465" w:rsidRPr="00624575">
        <w:rPr>
          <w:rFonts w:ascii="Times New Roman" w:hAnsi="Times New Roman" w:cs="Times New Roman"/>
          <w:sz w:val="28"/>
          <w:szCs w:val="28"/>
          <w:u w:color="FF0000"/>
        </w:rPr>
        <w:t>нежилое здание для осуществления предпринимательской деятельности общей площадью 50,8 м</w:t>
      </w:r>
      <w:r w:rsidR="000D0465" w:rsidRPr="00624575">
        <w:rPr>
          <w:rFonts w:ascii="Times New Roman" w:hAnsi="Times New Roman" w:cs="Times New Roman"/>
          <w:sz w:val="28"/>
          <w:szCs w:val="28"/>
          <w:u w:color="FF0000"/>
          <w:vertAlign w:val="superscript"/>
        </w:rPr>
        <w:t>2</w:t>
      </w:r>
      <w:r w:rsidR="007562ED">
        <w:rPr>
          <w:rFonts w:ascii="Times New Roman" w:hAnsi="Times New Roman" w:cs="Times New Roman"/>
          <w:sz w:val="28"/>
          <w:szCs w:val="28"/>
          <w:u w:color="FF0000"/>
        </w:rPr>
        <w:t xml:space="preserve"> на сумму</w:t>
      </w:r>
      <w:r w:rsidR="000D0465" w:rsidRPr="00624575">
        <w:rPr>
          <w:rFonts w:ascii="Times New Roman" w:hAnsi="Times New Roman" w:cs="Times New Roman"/>
          <w:sz w:val="28"/>
          <w:szCs w:val="28"/>
          <w:u w:color="FF0000"/>
        </w:rPr>
        <w:t xml:space="preserve"> 337,44 тыс. рублей. </w:t>
      </w:r>
    </w:p>
    <w:p w:rsidR="00FB3E6F" w:rsidRPr="00624575" w:rsidRDefault="00FB3E6F" w:rsidP="009B6E53">
      <w:pPr>
        <w:pStyle w:val="a3"/>
        <w:rPr>
          <w:rFonts w:ascii="Times New Roman" w:hAnsi="Times New Roman" w:cs="Times New Roman"/>
          <w:sz w:val="28"/>
          <w:szCs w:val="28"/>
          <w:u w:color="FF0000"/>
        </w:rPr>
      </w:pPr>
    </w:p>
    <w:p w:rsidR="00FB3E6F" w:rsidRPr="00624575" w:rsidRDefault="00FB3E6F" w:rsidP="00624575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 w:rsidRPr="00624575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Транспорт и связь</w:t>
      </w:r>
    </w:p>
    <w:p w:rsidR="00624575" w:rsidRPr="00624575" w:rsidRDefault="00624575" w:rsidP="0062457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9B6E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На территории города Боготола пассажирские перевозки осуществляет ОАО «Автомобилист». Выполнение программы пассажирских перевозок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автомобильным транспортом включает в себя выполнение муниципального задания по трем маршрутам общей протяженностью 35,3 км:</w:t>
      </w:r>
    </w:p>
    <w:p w:rsidR="00FB3E6F" w:rsidRDefault="00FB3E6F" w:rsidP="006245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• № 1 «Школьная – Сибирская» (протяженность маршрута составляет 6,6 км);</w:t>
      </w:r>
    </w:p>
    <w:p w:rsidR="00FB3E6F" w:rsidRDefault="00FB3E6F" w:rsidP="006245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• № 3 «Опытное –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п.Южный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» (протяженность маршрута 15,6 км);</w:t>
      </w:r>
    </w:p>
    <w:p w:rsidR="00FB3E6F" w:rsidRDefault="00FB3E6F" w:rsidP="006245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• № 4 «ж/д больница – ул.1-я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Зарельсовая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» (протяженность маршрута 13,1 км). </w:t>
      </w:r>
    </w:p>
    <w:p w:rsidR="00FB3E6F" w:rsidRDefault="00FB3E6F" w:rsidP="006245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перевезенных пассажиров в 2017 году составило 633,4 тыс. человек. Указанные маршруты включены в муниципальную программу пассажирских перевозок автомобильным транспортом с небольшой интенсивностью пассажиропотоков.</w:t>
      </w:r>
    </w:p>
    <w:p w:rsidR="00FB3E6F" w:rsidRDefault="00FB3E6F" w:rsidP="009B6E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2017 году составила 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58%.</w:t>
      </w:r>
    </w:p>
    <w:p w:rsidR="00FB3E6F" w:rsidRDefault="00FB3E6F" w:rsidP="006245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Протяженность дорог общего пользования местного значения, не отвечающих нормативным требованиям в 2017 году 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составила 73,7 км.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Общая протяженность автомобильных дорог местного значения составляет 128,76 км, из них 49,82 км – дороги с асфальтобетонным покрытием.   </w:t>
      </w:r>
    </w:p>
    <w:p w:rsidR="00FB3E6F" w:rsidRDefault="00FB3E6F" w:rsidP="006245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Реализация мероприятий, предусм</w:t>
      </w:r>
      <w:r w:rsidR="00624575">
        <w:rPr>
          <w:rFonts w:ascii="Times New Roman CYR" w:hAnsi="Times New Roman CYR" w:cs="Times New Roman CYR"/>
          <w:sz w:val="28"/>
          <w:szCs w:val="28"/>
          <w:u w:color="FF0000"/>
        </w:rPr>
        <w:t xml:space="preserve">отренных муниципальной программой города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Боготола "Развитие тр</w:t>
      </w:r>
      <w:r w:rsidR="00624575">
        <w:rPr>
          <w:rFonts w:ascii="Times New Roman CYR" w:hAnsi="Times New Roman CYR" w:cs="Times New Roman CYR"/>
          <w:sz w:val="28"/>
          <w:szCs w:val="28"/>
          <w:u w:color="FF0000"/>
        </w:rPr>
        <w:t>анспортной системы" подпрограммой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"Обеспечение сохранности и модернизация автомобильных дорог на территории муниципального образования" позволила улучшить дорожное покрытие улиц за счет произведенного капитального ремонта и восстановить технические параметры состояния дорожного полотна, отвечающим нормативным требованиям.</w:t>
      </w:r>
    </w:p>
    <w:p w:rsidR="00FB3E6F" w:rsidRDefault="00FB3E6F" w:rsidP="006245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2017 году отремонтированы участки улично-дорожной сети города общей протяженностью 2,373 км. </w:t>
      </w:r>
    </w:p>
    <w:p w:rsidR="00FB3E6F" w:rsidRDefault="00FB3E6F" w:rsidP="009B6E5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Общая протяженность дорог по улучшению дорожного полотна асфальтобетонным и щебеночным покрытием составила 1,393 км.</w:t>
      </w:r>
    </w:p>
    <w:p w:rsidR="00FB3E6F" w:rsidRDefault="00FB3E6F" w:rsidP="006245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Телефонную связь в городе производит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цех Красноярского филиала ОАО "Ростелеком". Монтированная емкость действующей АТС 4830 номеров, из них 1912 номеров - квартирные аппараты телефонной сети общего пользования. </w:t>
      </w:r>
    </w:p>
    <w:p w:rsidR="00FB3E6F" w:rsidRDefault="00FB3E6F" w:rsidP="006245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Системой общедоступного пользования также является сотовая связь "Билайн", "МТС", "Мегафон", "Tele2".</w:t>
      </w:r>
    </w:p>
    <w:p w:rsidR="00FB3E6F" w:rsidRDefault="00FB3E6F" w:rsidP="006245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Услуги почтовой связи оказывает отделение почтовой связи (ОПС)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Ачинского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почтамта УФПС Красноярского края - Филиала ФГУП "Почта России". В городе функционирует 4 отделения почтовой связи.</w:t>
      </w:r>
    </w:p>
    <w:p w:rsidR="003439A6" w:rsidRPr="00497D71" w:rsidRDefault="00FB3E6F" w:rsidP="00497D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С учетом спутниковой сети телерадиовещания в настоящее время имеют возможность принимать 20 телевизионных програм</w:t>
      </w:r>
      <w:r w:rsidR="008F020E">
        <w:rPr>
          <w:rFonts w:ascii="Times New Roman CYR" w:hAnsi="Times New Roman CYR" w:cs="Times New Roman CYR"/>
          <w:sz w:val="28"/>
          <w:szCs w:val="28"/>
          <w:u w:color="FF0000"/>
        </w:rPr>
        <w:t xml:space="preserve">м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100 % населения.</w:t>
      </w:r>
    </w:p>
    <w:p w:rsidR="00FB3E6F" w:rsidRPr="002F2A55" w:rsidRDefault="00FB3E6F" w:rsidP="002F2A55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 w:rsidRPr="002F2A55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lastRenderedPageBreak/>
        <w:t>Малое предпринимательство</w:t>
      </w:r>
    </w:p>
    <w:p w:rsidR="002F2A55" w:rsidRPr="002F2A55" w:rsidRDefault="002F2A55" w:rsidP="002F2A5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По состоянию на 1 января 2018 года в городе Боготоле зарегистрировано и осуществляют хозяйственную деятельность 360 субъектов малого и среднего предпринимательства, в том числе 86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микропредприятий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, 10 малых предприятий, 1 среднее предприятие и 263 индивидуальных предпринимателя (включенных в Единый реестр субъектов малого и среднего предпринимательства). Данные сведения сформированы на основании сведений Единого реестра субъектов малого</w:t>
      </w:r>
      <w:r w:rsidR="002F2A55">
        <w:rPr>
          <w:rFonts w:ascii="Times New Roman CYR" w:hAnsi="Times New Roman CYR" w:cs="Times New Roman CYR"/>
          <w:sz w:val="28"/>
          <w:szCs w:val="28"/>
          <w:u w:color="FF0000"/>
        </w:rPr>
        <w:t xml:space="preserve"> и среднего предпринимательства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Федеральной налоговой службы, Управлением ПФ РФ в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г.Боготоле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Красноярского края, а также государственными органами статистики.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Число субъектов малого и среднего предпринимательства в расчете на 10 тыс. человек населения по итогам 2017 года составило 179,82 ед., что на 22,6% выше уровня 2016 года (показатель рассчитан на основании сведений единого реестра субъектов малого и среднего предпринимательства, сформированного Федеральной налого</w:t>
      </w:r>
      <w:r w:rsidR="002F2A55">
        <w:rPr>
          <w:rFonts w:ascii="Times New Roman CYR" w:hAnsi="Times New Roman CYR" w:cs="Times New Roman CYR"/>
          <w:sz w:val="28"/>
          <w:szCs w:val="28"/>
          <w:u w:color="FF0000"/>
        </w:rPr>
        <w:t>во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й службой).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За отчетный период количество вновь зарегистрированных субъектов малого бизнеса составило 72 ед., из них около 42% приходится на хозяйствующие субъекты, занятые в сфере розничной торговли, 14% на предпринимателей, занятых в сфере транспорта (осуществляющих перевозки пассажиров и грузоперевозки), 8% - занятых в строительстве. На долю вновь открывшихся хозяйствующих субъектов, занятых в обрабатывающем производстве приходится </w:t>
      </w:r>
      <w:r w:rsidR="00603110">
        <w:rPr>
          <w:rFonts w:ascii="Times New Roman CYR" w:hAnsi="Times New Roman CYR" w:cs="Times New Roman CYR"/>
          <w:sz w:val="28"/>
          <w:szCs w:val="28"/>
          <w:u w:color="FF0000"/>
        </w:rPr>
        <w:t xml:space="preserve">лишь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5,5%. 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Ряд малых предприятий вследствие сокращения численности работников перешли в разряд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микропредприятий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, к таким организациям относятся: ООО "Скиф", ведущее деятельность по производству земляных работ, ООО "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торговый дом", занимающееся розничной торговлей. 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Снижение количества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микропредприятий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связано с прекращением деятельности организаций ООО "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Айс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-Плюс", ООО "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Стройлидер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", ООО "Вояж". 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yellow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По данным, представленным УПФР в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г.Боготоле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 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Боготольском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 районе, количество застрахованных лиц, за которых уплачены страховые взносы малыми предприятиями (включая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микропредприятия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) в 2017 году на территории города составило – 716 человек, средними предприятиями - 200, индивидуальными предпринимателями - 468 человек. 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По данным статистики среднесписочная численность работников (без внешних совместителей) по крупным, средним предприятиям и некоммерческим организациям за 2017 год составила </w:t>
      </w:r>
      <w:r w:rsidRPr="009D674E">
        <w:rPr>
          <w:rFonts w:ascii="Times New Roman" w:hAnsi="Times New Roman" w:cs="Times New Roman"/>
          <w:color w:val="000000"/>
          <w:sz w:val="28"/>
          <w:szCs w:val="28"/>
          <w:u w:color="FF0000"/>
        </w:rPr>
        <w:t>6</w:t>
      </w: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178 человек.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Таким образом, по итогам 2017 года доля среднесписочной численности работников (без внешних совместителей) малых и средних предприятий в среднесписочной численности работников всех предприятий и организаций </w:t>
      </w: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lastRenderedPageBreak/>
        <w:t>города составила 21,6%. Основные причины снижения показателя в отчетном году, по сравнению с уровнем 2016 года: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1) сокращение количества предприятий малого бизнеса и индивидуальных предпринимателей;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2) снижение численности работников на таких предприятиях города как ООО "Скиф", ООО ДПМК "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Боготольская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", ООО "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Боготолмолоко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";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3) предприятие ООО "Русь" сменило юридический адрес регистрации, зарегистрировавшись с апреля 2017 года на территории города Красноярска. 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По прогнозным данным в период с 2018 по 2021 годы ожидается увеличение доли среднесписочной численности работников малых и средних предприятий в общей численности работников всех предприятий и организаций города с 22,5% до 24,4% за счет роста числа субъектов малого предпринимательства, преимущественно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микропредприятий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 и индивидуальных предпринимателей.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рамках муниципальной программы города Боготола «Развитие инвестиционной деятельности, малого и среднего предпринимательства», подпрограммы 1 «Развитие субъектов малого и среднего предпринимательства в городе Боготоле» оказана поддержка 5 предпринимателям.</w:t>
      </w:r>
    </w:p>
    <w:p w:rsidR="00FB3E6F" w:rsidRDefault="00034E4D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Объем финансирования п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одпрограммы 1 в 2017 году составил 1 559,8 тыс. руб., из них 559,8 тыс. руб. – средства местного бюджета, 1 000,0 тыс. руб. – средства краевого бюджета.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Фактическое исполнение расходов по подпрограмме 1 составляет 1 559,8 тыс. руб. или 100% от плановых ассигнований.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Средства местного бюджета в сумме 20,0 тыс. руб. израсходованы на обеспечение малого и среднего предпринимательства информационными, обучающими и другими услугами: публикация информации в печатном издан</w:t>
      </w:r>
      <w:r w:rsidR="00034E4D">
        <w:rPr>
          <w:rFonts w:ascii="Times New Roman CYR" w:hAnsi="Times New Roman CYR" w:cs="Times New Roman CYR"/>
          <w:sz w:val="28"/>
          <w:szCs w:val="28"/>
          <w:u w:color="FF0000"/>
        </w:rPr>
        <w:t xml:space="preserve">ии газеты «Земля </w:t>
      </w:r>
      <w:proofErr w:type="spellStart"/>
      <w:r w:rsidR="00034E4D">
        <w:rPr>
          <w:rFonts w:ascii="Times New Roman CYR" w:hAnsi="Times New Roman CYR" w:cs="Times New Roman CYR"/>
          <w:sz w:val="28"/>
          <w:szCs w:val="28"/>
          <w:u w:color="FF0000"/>
        </w:rPr>
        <w:t>боготольская</w:t>
      </w:r>
      <w:proofErr w:type="spellEnd"/>
      <w:r w:rsidR="00034E4D">
        <w:rPr>
          <w:rFonts w:ascii="Times New Roman CYR" w:hAnsi="Times New Roman CYR" w:cs="Times New Roman CYR"/>
          <w:sz w:val="28"/>
          <w:szCs w:val="28"/>
          <w:u w:color="FF0000"/>
        </w:rPr>
        <w:t>»,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а также местном телевидении о формах поддержки субъектов малого и среднего бизнеса.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На оказание финансовой поддержки субъектам малого и среднего предпринимательства израсходовано 505,0 тыс. руб. из местного бюджета и 1 000,0 тыс. руб. из средств краевого бюджета.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ходе реализации подпрограммы по поддержке малого бизнеса за счет средств краевого бюджета в 2017 году оказана финансовая поддержка 3 субъектам малого бизнеса по мероприятию «Субсидирование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товаров», создано 4 новых рабочих места, привлечено инвестиций на сумму 3 333,2 тыс. руб.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ходе реализации подпрограммы за счет средств местного бюджета в 2017 году оказана поддержка: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- 1 субъекту малого предпринимательства по мероприятию «Субсидии вновь созданным субъектам малого предпринимательства – производителям товаров,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работ, услуг на возмещение части расходов, связанных с приобретением и созданием основных средств и началом предпринимательской деятельности», создано 2 рабочих места, привлечено инвестиций на сумму 354,921 тыс. руб.;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- 2 субъектам малого бизнеса по мероприятию «Субсидирование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товаров», создано 1 новое рабочее место, количество сохраненных рабочих мест составило 10, привлечено инвестиций на сумму 685,8 тыс. руб.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Благодаря реализации программного мероприятия по субсидированию начинающих предпринимателей оказана поддержка индивидуальному предпринимателю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Тимошкевич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Елене Александровне по виду экономической деятельности производство санитарно-технических работ, монтаж отопительных систем и систем кондиционирования воздуха.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Результатом реализации мероприятия по приобретению оборудования в целях модернизации производства товаров и оказания услуг стало: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улучшение качества оказываемых стоматологических услуг ООО «Колибри»;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усовершенствование предоставляемых услуг ООО «Ника» по ремонту компьютерной и бытовой техники;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расширение спектра оказываемых медицинских услуг ООО «Альпина-Мед»;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 расширение оказываемых столярных и плотничных работ ИП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Ведибедой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А.Ю. (дополнительные услуги по обшивке зданий). 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С целью формирования положительного имиджа малого и среднего предпринимательства на территории города Боготола в мае 2017 года впервые проведено мероприятие «День предпринимателя», в рамках муниципальной программы «Развитие инвестиционной деятельности, малого и среднего предпринимательства» подпрограммы 1 «Развитие субъектов малого и среднего предпринимательства» израсходовано 34,8 тыс. руб.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2018-2021 годы планируется рост числа субъектов малого предпринимательства за счет оказания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информационноно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-консультационной, финансовой поддержки, а также формирования положительного имиджа малого и среднего предпринимательства на территории города Боготола. </w:t>
      </w:r>
    </w:p>
    <w:p w:rsidR="00FB3E6F" w:rsidRPr="002F2A55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Ожидается, что комплексное использование данных механизмов поддержки субъектов малого и среднего предпринимательства приведет к увеличению деловой активности населения, развитию конкуренции, наращиванию оборота малых и средних предприятий, созданию новых рабочих мест, росту налоговых поступлений в местный бюджет.</w:t>
      </w:r>
    </w:p>
    <w:p w:rsidR="00FB3E6F" w:rsidRDefault="00FB3E6F" w:rsidP="002F2A55">
      <w:pPr>
        <w:pStyle w:val="a3"/>
        <w:rPr>
          <w:u w:color="FF0000"/>
        </w:rPr>
      </w:pPr>
      <w:r>
        <w:rPr>
          <w:u w:color="FF0000"/>
        </w:rPr>
        <w:t xml:space="preserve"> </w:t>
      </w:r>
    </w:p>
    <w:p w:rsidR="000B1824" w:rsidRPr="002F2A55" w:rsidRDefault="000B1824" w:rsidP="002F2A55">
      <w:pPr>
        <w:pStyle w:val="a3"/>
        <w:rPr>
          <w:sz w:val="28"/>
          <w:szCs w:val="28"/>
          <w:u w:color="FF0000"/>
        </w:rPr>
      </w:pPr>
    </w:p>
    <w:p w:rsidR="002F2A55" w:rsidRDefault="00FB3E6F" w:rsidP="002F2A55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 w:rsidRPr="002F2A55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lastRenderedPageBreak/>
        <w:t>Результаты финансовой деятельности предприятий</w:t>
      </w:r>
    </w:p>
    <w:p w:rsidR="002F2A55" w:rsidRPr="002F2A55" w:rsidRDefault="002F2A55" w:rsidP="002F2A5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Согласно представленным данным сальдированный финансовый результат «прибыль», полученный от Территориального органа Федеральной службы государственной статистики по Красноярскому краю" за 2017 год (форма П-3) составил 23 727,0 тыс. руб. Изменения в сторону роста, по сравнению с 2016 годом, обусловлены тем, что финансовые итоги деятельности убыточных предприятий - банкротов (совхоз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», ООО «Водоканал») подведены в 2016 году, что и повлияло на формирование отрицательного сальдированного финансового результата. В отчетном периоде организации деятельность не осуществляли.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Доля прибыльных организаций за 2017 год составила 100%, сумма прибыли 23 727,0 тыс. руб.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Сальдированный финансовый результат в оценке 2018 года и планируемый к 2021 году представлен данными ООО "БВРЗ" и ООО "Водоканал-сервис" положительным сальдо. 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ab/>
        <w:t xml:space="preserve">За 2017 год согласно отчета Управления Федеральной налоговой службы по Красноярскому краю, за 2017 год (форма 5-ПМ) «О налоговой базе и структуре начислений по налогу на прибыль организаций», зачисляемому в бюджет субъекта РФ налогооблагаемая база по налогу на прибыль, предприятий, обособленных подразделений, расположенных на одной территории составила 32 925,0 тыс. руб., соответственно сумма налога начислена 5 598,0 тыс. руб. 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Поступление налога в консолидированный бюджет в 2017 году составило 5 005,1 тыс. руб., из них в бюджет города 250,2 тыс. руб.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Основными плательщиками налога на прибыль в 2017 году на территории города являются предприятия по виду деятельности ОКВЭД 30.20.9 «Предоставление услуг по восстановлению и оснащению (завершению) железнодорожных локомотивов, трамвайных моторных вагонов и прочего подвижного состава» (доля поступлений в консолидированный бюджет составила 41,2% или 2 062,3 тыс. руб.), ОКВЭД 36.00.1 «Забор и очистка воды для питьевых и промышленных нужд» (доля поступлений в консолидированный бюджет составила 38,5% или 1 930,1 тыс. руб.), ОКВЭД 47.2 «Торговля розничная пищевыми продуктами, напитками и табачными изделиями в специализированных магазинах» (доля поступлений в консолидированный бюджет составила 4,9% или 247,5 тыс. руб.), ОКВЭД 42.11 «Строительство автомобильных дорог и автомагистралей» (доля поступлений в консолидированный бюджет составила 3,8% или 189,0 тыс. руб.).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2017 году финансовый результат по вышеуказанным видам деяте</w:t>
      </w:r>
      <w:r w:rsidR="002F2A55">
        <w:rPr>
          <w:rFonts w:ascii="Times New Roman CYR" w:hAnsi="Times New Roman CYR" w:cs="Times New Roman CYR"/>
          <w:sz w:val="28"/>
          <w:szCs w:val="28"/>
          <w:u w:color="FF0000"/>
        </w:rPr>
        <w:t>льности наметил тенденцию роста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по сравнению с предыдущим периодом. 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Arial" w:hAnsi="Arial" w:cs="Arial"/>
          <w:sz w:val="16"/>
          <w:szCs w:val="16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Общая сумма кредиторской задолженности на предприятиях муниципального образования на 01.01.2018 составила 40 390,0 тыс. руб. или 38,6% к уровню прошлого года.</w:t>
      </w:r>
    </w:p>
    <w:p w:rsidR="00034E4D" w:rsidRPr="00497D71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color="FF0000"/>
        </w:rPr>
      </w:pPr>
      <w:r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FB3E6F" w:rsidRPr="002F2A55" w:rsidRDefault="002F2A55" w:rsidP="002F2A55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2F2A55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Бюджет муниципального образования</w:t>
      </w:r>
    </w:p>
    <w:p w:rsidR="002F2A55" w:rsidRPr="002F2A55" w:rsidRDefault="002F2A55" w:rsidP="002F2A5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2017 году собственные доходы бюджета города Боготола (без учета субвенций) составили 292 999,60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тыс.рублей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, что больше на 15,9% чем в 2016 году.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Увеличение собственных доходов бюджета города произошло за счет роста безвозмездных поступлений, за исключением субвенций, поступающих в консолидированный бюджет, налоговых и неналоговых доходов бюджета на 30,24%, 1,34% и 20,05% соответственно. 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При этом доля налоговых и неналоговых доходов в общем объеме собственных доходов в 2017 году составила 49,3%, в оценке 2018 года - 46,6%, в плановом периоде 2019-2021 года показатель запланирован в размере от 60,8% до 63%.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Расходы консолидированного бюджета в 2017 году выросли по сра</w:t>
      </w:r>
      <w:r w:rsidR="002F2A55">
        <w:rPr>
          <w:rFonts w:ascii="Times New Roman CYR" w:hAnsi="Times New Roman CYR" w:cs="Times New Roman CYR"/>
          <w:sz w:val="28"/>
          <w:szCs w:val="28"/>
          <w:u w:color="FF0000"/>
        </w:rPr>
        <w:t xml:space="preserve">внению с 2016 годом на 8,45% и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составили 608 975,10 тыс. руб. 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Расходы консолидированного бюджета на развитие и поддержку субъектов малого и среднего предпринимательства в расчете на одну малую и среднюю организацию в 2017 году составили 4 332,80 рублей.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right="50"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С учетом снижения численности населения на территории муниципального образования и выделенных бюджетных средств расходы консолидированного бюджета на развитие и поддержку субъектов малого и среднего предпринимательства в расчете на 1 человека населения по сравнению с 2016 годом уменьшились на 22,1% и составили за 2017 год 77,48 рублей.</w:t>
      </w:r>
    </w:p>
    <w:p w:rsidR="00FB3E6F" w:rsidRPr="002F2A55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color="FF0000"/>
        </w:rPr>
      </w:pPr>
    </w:p>
    <w:p w:rsidR="00FB3E6F" w:rsidRPr="002F2A55" w:rsidRDefault="002F2A55" w:rsidP="002F2A55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2F2A55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Общественное питание</w:t>
      </w:r>
    </w:p>
    <w:p w:rsidR="002F2A55" w:rsidRPr="002F2A55" w:rsidRDefault="002F2A55" w:rsidP="002F2A5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2F2A55" w:rsidRDefault="00FB3E6F" w:rsidP="00034E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По состоянию на 01.01.2018 года в городе осуществляют свою деятельность 36 предп</w:t>
      </w:r>
      <w:r w:rsidR="00034E4D">
        <w:rPr>
          <w:rFonts w:ascii="Times New Roman CYR" w:hAnsi="Times New Roman CYR" w:cs="Times New Roman CYR"/>
          <w:sz w:val="28"/>
          <w:szCs w:val="28"/>
          <w:u w:color="FF0000"/>
        </w:rPr>
        <w:t xml:space="preserve">риятий общественного питания:  </w:t>
      </w:r>
    </w:p>
    <w:p w:rsidR="002F2A55" w:rsidRDefault="002F2A55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4359"/>
        <w:gridCol w:w="1134"/>
        <w:gridCol w:w="1134"/>
        <w:gridCol w:w="1134"/>
        <w:gridCol w:w="1417"/>
      </w:tblGrid>
      <w:tr w:rsidR="00FB3E6F" w:rsidTr="002F2A55">
        <w:trPr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ind w:left="2660" w:hanging="2660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№</w:t>
            </w:r>
          </w:p>
        </w:tc>
        <w:tc>
          <w:tcPr>
            <w:tcW w:w="4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Наименование предприятия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Количество предприятий, шт.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B3E6F" w:rsidRPr="002F2A55" w:rsidRDefault="002F2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2017 год к 2016</w:t>
            </w:r>
            <w:r w:rsidR="00FB3E6F"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 году, %</w:t>
            </w:r>
          </w:p>
        </w:tc>
      </w:tr>
      <w:tr w:rsidR="00FB3E6F" w:rsidTr="002F2A55">
        <w:trPr>
          <w:trHeight w:val="604"/>
          <w:jc w:val="center"/>
        </w:trPr>
        <w:tc>
          <w:tcPr>
            <w:tcW w:w="45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</w:tc>
        <w:tc>
          <w:tcPr>
            <w:tcW w:w="4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2F2A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2015 </w:t>
            </w:r>
            <w:r w:rsidR="00FB3E6F"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2017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</w:tc>
      </w:tr>
      <w:tr w:rsidR="00FB3E6F" w:rsidTr="002F2A55">
        <w:trPr>
          <w:trHeight w:val="345"/>
          <w:jc w:val="center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Общедоступные столовые, закусочных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133,3</w:t>
            </w:r>
          </w:p>
        </w:tc>
      </w:tr>
      <w:tr w:rsidR="00FB3E6F" w:rsidTr="002F2A55">
        <w:trPr>
          <w:trHeight w:val="200"/>
          <w:jc w:val="center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Кафе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100,00</w:t>
            </w:r>
          </w:p>
        </w:tc>
      </w:tr>
      <w:tr w:rsidR="00FB3E6F" w:rsidTr="002F2A55">
        <w:trPr>
          <w:jc w:val="center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3.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100,00</w:t>
            </w:r>
          </w:p>
        </w:tc>
      </w:tr>
      <w:tr w:rsidR="00FB3E6F" w:rsidTr="002F2A55">
        <w:trPr>
          <w:trHeight w:val="300"/>
          <w:jc w:val="center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36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111,1</w:t>
            </w:r>
          </w:p>
        </w:tc>
      </w:tr>
    </w:tbl>
    <w:p w:rsidR="00FB3E6F" w:rsidRDefault="00FB3E6F" w:rsidP="002F2A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Оборот общественного питания субъектов малого и среднего предпринимательства в отчетно</w:t>
      </w:r>
      <w:r w:rsidR="002F2A55">
        <w:rPr>
          <w:rFonts w:ascii="Times New Roman CYR" w:hAnsi="Times New Roman CYR" w:cs="Times New Roman CYR"/>
          <w:sz w:val="28"/>
          <w:szCs w:val="28"/>
          <w:u w:color="FF0000"/>
        </w:rPr>
        <w:t xml:space="preserve">м году составил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14 054,70 тыс. руб. что на 503,0 тыс. руб. больше, чем в 2016 году. </w:t>
      </w: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В прогнозируемый период 2018 - 2021 гг. также сохранится тенденция активного развития предприятий общественного питания города, что позволит обеспечить ежегодный прирост оборота общественного питания. </w:t>
      </w:r>
    </w:p>
    <w:p w:rsidR="00FB3E6F" w:rsidRPr="002F2A55" w:rsidRDefault="00FB3E6F" w:rsidP="002F2A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По оценке 2018 года объем платных услуг населению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составит 48 245,91 т</w:t>
      </w: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ыс. рублей, что в сопоста</w:t>
      </w:r>
      <w:r w:rsidR="002F2A55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вимых ценах составляет 99,9 % к уровню 2017 года.</w:t>
      </w:r>
    </w:p>
    <w:p w:rsidR="00FB3E6F" w:rsidRPr="00497D71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color="FF0000"/>
        </w:rPr>
      </w:pPr>
      <w:r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FB3E6F" w:rsidRPr="002F2A55" w:rsidRDefault="002F2A55" w:rsidP="002F2A55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2F2A55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Розничная торговля</w:t>
      </w:r>
    </w:p>
    <w:p w:rsidR="002F2A55" w:rsidRPr="002F2A55" w:rsidRDefault="002F2A55" w:rsidP="002F2A5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По состоянию на 01.01.2018 года потребительский рынок города включал в себя 199 объектов розничной торговли: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"/>
        <w:gridCol w:w="3508"/>
        <w:gridCol w:w="1435"/>
        <w:gridCol w:w="1411"/>
        <w:gridCol w:w="1398"/>
        <w:gridCol w:w="1417"/>
      </w:tblGrid>
      <w:tr w:rsidR="00FB3E6F" w:rsidTr="002F2A55">
        <w:trPr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№</w:t>
            </w:r>
          </w:p>
        </w:tc>
        <w:tc>
          <w:tcPr>
            <w:tcW w:w="3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Наименование предприятия</w:t>
            </w:r>
          </w:p>
        </w:tc>
        <w:tc>
          <w:tcPr>
            <w:tcW w:w="4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Количество предприятий, шт.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2017 год к 2016 году, %</w:t>
            </w:r>
          </w:p>
        </w:tc>
      </w:tr>
      <w:tr w:rsidR="00FB3E6F" w:rsidTr="002F2A55">
        <w:trPr>
          <w:jc w:val="center"/>
        </w:trPr>
        <w:tc>
          <w:tcPr>
            <w:tcW w:w="45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</w:p>
        </w:tc>
        <w:tc>
          <w:tcPr>
            <w:tcW w:w="3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2015 год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2016 год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2017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</w:p>
        </w:tc>
      </w:tr>
      <w:tr w:rsidR="00FB3E6F" w:rsidTr="002F2A55">
        <w:trPr>
          <w:trHeight w:val="345"/>
          <w:jc w:val="center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1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Магазины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159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128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115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89,8</w:t>
            </w:r>
          </w:p>
        </w:tc>
      </w:tr>
      <w:tr w:rsidR="00FB3E6F" w:rsidTr="002F2A55">
        <w:trPr>
          <w:trHeight w:val="345"/>
          <w:jc w:val="center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2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Павильоны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73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67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85,07</w:t>
            </w:r>
          </w:p>
        </w:tc>
      </w:tr>
      <w:tr w:rsidR="00FB3E6F" w:rsidTr="002F2A55">
        <w:trPr>
          <w:trHeight w:val="315"/>
          <w:jc w:val="center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3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Киоски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9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9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100</w:t>
            </w:r>
          </w:p>
        </w:tc>
      </w:tr>
      <w:tr w:rsidR="00FB3E6F" w:rsidTr="002F2A55">
        <w:trPr>
          <w:trHeight w:val="200"/>
          <w:jc w:val="center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4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Аптеки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125</w:t>
            </w:r>
          </w:p>
        </w:tc>
      </w:tr>
      <w:tr w:rsidR="00FB3E6F" w:rsidTr="002F2A55">
        <w:trPr>
          <w:jc w:val="center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5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Аптечные пункты, киоски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100,0</w:t>
            </w:r>
          </w:p>
        </w:tc>
      </w:tr>
      <w:tr w:rsidR="00FB3E6F" w:rsidTr="002F2A55">
        <w:trPr>
          <w:trHeight w:val="418"/>
          <w:jc w:val="center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6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АЗС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5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100,0</w:t>
            </w:r>
          </w:p>
        </w:tc>
      </w:tr>
      <w:tr w:rsidR="00FB3E6F" w:rsidTr="002F2A55">
        <w:trPr>
          <w:jc w:val="center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7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Универсальные рынки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1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B3E6F" w:rsidRPr="002F2A55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</w:pPr>
            <w:r w:rsidRPr="002F2A55">
              <w:rPr>
                <w:rFonts w:ascii="Times New Roman CYR" w:hAnsi="Times New Roman CYR" w:cs="Times New Roman CYR"/>
                <w:color w:val="000000"/>
                <w:sz w:val="24"/>
                <w:szCs w:val="24"/>
                <w:u w:color="FF0000"/>
              </w:rPr>
              <w:t>100,0</w:t>
            </w:r>
          </w:p>
        </w:tc>
      </w:tr>
    </w:tbl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2017 году наблюдалось снижение продажи товаров. Оборот розничной торговли составил 2 369 499,50 тыс. руб. Темп роста оборота розничной торговли в сопоставимых ценах за отчетный год составил 98,3%. В 2017 году прекратили торговую деятельность 13 магазинов. В соответствии с предусмотренной схемой размещения нестационарных объектов, на территории города проводится работа по замене устаревших киосков и павильонов на современные строения. </w:t>
      </w:r>
    </w:p>
    <w:p w:rsidR="00FB3E6F" w:rsidRPr="002F2A55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2018 году предполагается рост оборота розничной торговли до уровня 100,2 % в сопоставимых ценах - 2 435 968,4 тыс. руб. В прогноз</w:t>
      </w:r>
      <w:r w:rsidR="00034E4D">
        <w:rPr>
          <w:rFonts w:ascii="Times New Roman CYR" w:hAnsi="Times New Roman CYR" w:cs="Times New Roman CYR"/>
          <w:sz w:val="28"/>
          <w:szCs w:val="28"/>
          <w:u w:color="FF0000"/>
        </w:rPr>
        <w:t>ируемый период 2019-2021</w:t>
      </w:r>
      <w:r w:rsidR="00794040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034E4D">
        <w:rPr>
          <w:rFonts w:ascii="Times New Roman CYR" w:hAnsi="Times New Roman CYR" w:cs="Times New Roman CYR"/>
          <w:sz w:val="28"/>
          <w:szCs w:val="28"/>
          <w:u w:color="FF0000"/>
        </w:rPr>
        <w:t>годы так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же сохранится тенденция активного развития инфраструктуры потребительского рынка города и повышение покупательной способности населения, что позволит обеспечить ежегодный прирост оборота розничной торговли. Планируется дальнейшее расширение сети торговых предприятий, реализующих продукцию собственного производства от производителя, дальнейшая замена устаревших павильонов и киосков на новые,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отвечающие современным требованиям, с подключением их к коммунальным сетям города, открытие н</w:t>
      </w:r>
      <w:r w:rsidR="002F2A55">
        <w:rPr>
          <w:rFonts w:ascii="Times New Roman CYR" w:hAnsi="Times New Roman CYR" w:cs="Times New Roman CYR"/>
          <w:sz w:val="28"/>
          <w:szCs w:val="28"/>
          <w:u w:color="FF0000"/>
        </w:rPr>
        <w:t xml:space="preserve">овых аптек и аптечных пунктов. </w:t>
      </w:r>
    </w:p>
    <w:p w:rsidR="00FB3E6F" w:rsidRPr="00497D71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color="FF0000"/>
        </w:rPr>
      </w:pPr>
      <w:r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FB3E6F" w:rsidRPr="002F2A55" w:rsidRDefault="002F2A55" w:rsidP="002F2A55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2F2A55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Платные услуги населению</w:t>
      </w:r>
    </w:p>
    <w:p w:rsidR="002F2A55" w:rsidRPr="002F2A55" w:rsidRDefault="002F2A55" w:rsidP="002F2A5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FB3E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Объем платных услуг, оказанных населению в 2017 году составил 383</w:t>
      </w:r>
      <w:r w:rsidR="00794040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323,4 тыс. рублей, что в сопоставимых ценах составляет </w:t>
      </w:r>
      <w:r w:rsidRPr="009D674E">
        <w:rPr>
          <w:rFonts w:ascii="Times New Roman" w:hAnsi="Times New Roman" w:cs="Times New Roman"/>
          <w:sz w:val="28"/>
          <w:szCs w:val="28"/>
          <w:u w:color="FF0000"/>
        </w:rPr>
        <w:t>67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 w:rsidRPr="009D674E">
        <w:rPr>
          <w:rFonts w:ascii="Times New Roman" w:hAnsi="Times New Roman" w:cs="Times New Roman"/>
          <w:sz w:val="28"/>
          <w:szCs w:val="28"/>
          <w:u w:color="FF0000"/>
        </w:rPr>
        <w:t>5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Pr="009D674E">
        <w:rPr>
          <w:rFonts w:ascii="Times New Roman" w:hAnsi="Times New Roman" w:cs="Times New Roman"/>
          <w:sz w:val="28"/>
          <w:szCs w:val="28"/>
          <w:u w:color="FF0000"/>
        </w:rPr>
        <w:t>%</w:t>
      </w:r>
      <w:r w:rsidR="002F2A55">
        <w:rPr>
          <w:rFonts w:ascii="Times New Roman CYR" w:hAnsi="Times New Roman CYR" w:cs="Times New Roman CYR"/>
          <w:sz w:val="28"/>
          <w:szCs w:val="28"/>
          <w:u w:color="FF0000"/>
        </w:rPr>
        <w:t xml:space="preserve"> к уровню 2016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года.  Наибольший объем расходов населения на услуги приходится на </w:t>
      </w:r>
      <w:r w:rsidR="002F2A55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платные </w:t>
      </w: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коммунальные, медицинские, социальные услуги и услуги на образование. </w:t>
      </w:r>
    </w:p>
    <w:p w:rsidR="00FB3E6F" w:rsidRDefault="00FB3E6F" w:rsidP="002F2A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По оценке 2018 года объем платных услуг населению составит 390</w:t>
      </w:r>
      <w:r w:rsidR="00794040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989,8 тыс. рублей, что в сопостав</w:t>
      </w:r>
      <w:r w:rsidR="002F2A55">
        <w:rPr>
          <w:rFonts w:ascii="Times New Roman CYR" w:hAnsi="Times New Roman CYR" w:cs="Times New Roman CYR"/>
          <w:sz w:val="28"/>
          <w:szCs w:val="28"/>
          <w:u w:color="FF0000"/>
        </w:rPr>
        <w:t>имых ценах составляет 99,9 % к уровню 2017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года. </w:t>
      </w:r>
    </w:p>
    <w:p w:rsidR="00FB3E6F" w:rsidRDefault="00FB3E6F" w:rsidP="002F2A55">
      <w:pPr>
        <w:tabs>
          <w:tab w:val="left" w:pos="92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прогнозируемом периоде темпы роста платных услуг населению составят: </w:t>
      </w:r>
      <w:r>
        <w:rPr>
          <w:rFonts w:ascii="Times New Roman" w:hAnsi="Times New Roman" w:cs="Times New Roman"/>
          <w:sz w:val="28"/>
          <w:szCs w:val="28"/>
          <w:u w:color="FF0000"/>
          <w:lang w:val="en-US"/>
        </w:rPr>
        <w:t>c</w:t>
      </w:r>
      <w:r w:rsidRPr="009D674E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 w:rsidR="00951847">
        <w:rPr>
          <w:rFonts w:ascii="Times New Roman CYR" w:hAnsi="Times New Roman CYR" w:cs="Times New Roman CYR"/>
          <w:sz w:val="28"/>
          <w:szCs w:val="28"/>
          <w:u w:color="FF0000"/>
        </w:rPr>
        <w:t xml:space="preserve">2019 по </w:t>
      </w:r>
      <w:r w:rsidRPr="009D674E">
        <w:rPr>
          <w:rFonts w:ascii="Times New Roman" w:hAnsi="Times New Roman" w:cs="Times New Roman"/>
          <w:sz w:val="28"/>
          <w:szCs w:val="28"/>
          <w:u w:color="FF0000"/>
        </w:rPr>
        <w:t>202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1</w:t>
      </w:r>
      <w:r w:rsidRPr="009D674E">
        <w:rPr>
          <w:rFonts w:ascii="Times New Roman" w:hAnsi="Times New Roman" w:cs="Times New Roman"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годы в среднем 100 процент</w:t>
      </w:r>
      <w:r w:rsidR="002F2A55">
        <w:rPr>
          <w:rFonts w:ascii="Times New Roman CYR" w:hAnsi="Times New Roman CYR" w:cs="Times New Roman CYR"/>
          <w:sz w:val="28"/>
          <w:szCs w:val="28"/>
          <w:u w:color="FF0000"/>
        </w:rPr>
        <w:t>ов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, соответственно.</w:t>
      </w:r>
    </w:p>
    <w:p w:rsidR="00FB3E6F" w:rsidRPr="002F2A55" w:rsidRDefault="00FB3E6F" w:rsidP="002F2A55">
      <w:pPr>
        <w:tabs>
          <w:tab w:val="left" w:pos="92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Несмотря на различные тенденции развития </w:t>
      </w:r>
      <w:r w:rsidR="002F2A55">
        <w:rPr>
          <w:rFonts w:ascii="Times New Roman CYR" w:hAnsi="Times New Roman CYR" w:cs="Times New Roman CYR"/>
          <w:sz w:val="28"/>
          <w:szCs w:val="28"/>
          <w:u w:color="FF0000"/>
        </w:rPr>
        <w:t>отдельных видов услуг, в 2018-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2021 годах не произойдет значительного изменения их структуры (в фактических ценах). По-прежнему более 50% от общего объема расходов населения на услуги будет приходиться на «обязательны</w:t>
      </w:r>
      <w:r w:rsidR="002F2A55">
        <w:rPr>
          <w:rFonts w:ascii="Times New Roman CYR" w:hAnsi="Times New Roman CYR" w:cs="Times New Roman CYR"/>
          <w:sz w:val="28"/>
          <w:szCs w:val="28"/>
          <w:u w:color="FF0000"/>
        </w:rPr>
        <w:t>е» услуги. Услуги, зависящие от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доходов населения – культуры и связи, медицинские и образования – будут иметь стабильные темпы роста, но доля каждой из них в общем объеме невысока, за исключением услуг связи, и изменение их объемов не вносит существенного изменения в общую структуру потребления платных услуг населением.</w:t>
      </w:r>
    </w:p>
    <w:p w:rsidR="00FB3E6F" w:rsidRPr="00497D71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color="FF0000"/>
        </w:rPr>
      </w:pPr>
      <w:r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FB3E6F" w:rsidRPr="002F2A55" w:rsidRDefault="002F2A55" w:rsidP="002F2A55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2F2A55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Уровень жизни населения</w:t>
      </w:r>
    </w:p>
    <w:p w:rsidR="002F2A55" w:rsidRPr="002F2A55" w:rsidRDefault="002F2A55" w:rsidP="002F2A55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2F2A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2017 году на территории города Боготола среднедушевой месячный денежный доход составил 16 250,0 руб., темп роста среднедушевого денежного дохода составил 103,3 % к уровню 2016 года, реальный темп роста среднедушевого денежного дохода к уровню 2016 года - 100,4 %.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Среднемесячная начисленная заработная плата одного работника за 2017 год составила 36 247,1 руб. и увеличилась по отношению к 2016 году номинально на 6 %. Рост зарплаты в 2017 году зафиксирован у работников большинства всех сфер деятельности, исключение составляют такие виды экономической деятельности, как "Обрабатывающие производства" и "Водоснабжение; водоотведение, организация сбора и утилизации отходов, деятельность по ликвидации загрязнений".</w:t>
      </w:r>
    </w:p>
    <w:p w:rsidR="00FB3E6F" w:rsidRPr="00027ED1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Наибольший рост среднемесячной заработной платы в 2017 году наблюдается у работников культуры, спорта, темп роста к уровню 2016 года составил 123,7%, у работников здравоохранения, тем</w:t>
      </w:r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 xml:space="preserve">п роста к уровню 2016 - 116,8%.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color="FF0000"/>
        </w:rPr>
      </w:pPr>
      <w:r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0B1824" w:rsidRDefault="000B1824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color="FF0000"/>
        </w:rPr>
      </w:pPr>
    </w:p>
    <w:p w:rsidR="000B1824" w:rsidRPr="00027ED1" w:rsidRDefault="000B1824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color="FF0000"/>
        </w:rPr>
      </w:pPr>
    </w:p>
    <w:p w:rsidR="00FB3E6F" w:rsidRPr="00027ED1" w:rsidRDefault="00027ED1" w:rsidP="00027ED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lastRenderedPageBreak/>
        <w:t xml:space="preserve"> </w:t>
      </w:r>
      <w:r w:rsidR="00FB3E6F" w:rsidRPr="00027ED1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Рынок труда</w:t>
      </w:r>
    </w:p>
    <w:p w:rsidR="00027ED1" w:rsidRDefault="00027ED1" w:rsidP="00027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b/>
          <w:bCs/>
          <w:color w:val="000000"/>
          <w:sz w:val="28"/>
          <w:szCs w:val="28"/>
          <w:u w:color="FF0000"/>
          <w:lang w:eastAsia="ru-RU"/>
        </w:rPr>
      </w:pP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трудовых ресурсов, в среднем за период 2017 года по городу Боготолу составила 10,786 тыс. чел., из них численность трудоспособного населения в т</w:t>
      </w:r>
      <w:r w:rsidR="00951847">
        <w:rPr>
          <w:rFonts w:ascii="Times New Roman CYR" w:hAnsi="Times New Roman CYR" w:cs="Times New Roman CYR"/>
          <w:sz w:val="28"/>
          <w:szCs w:val="28"/>
          <w:u w:color="FF0000"/>
        </w:rPr>
        <w:t>рудоспособном возрасте –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9,783 тыс. чел., что на 3,2% ниже уровня 2016 года. </w:t>
      </w:r>
    </w:p>
    <w:p w:rsidR="00FB3E6F" w:rsidRDefault="00027ED1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По состоянию на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 01.01.2018 года численность пенсионеров города составила 6710 чел., из них осуществляли официально трудовую деятельность в 2017 году – 940 чел., или 14%. В про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г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ноз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ируемом периоде 2019-2021 годы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 ожидается снижение численности населения старше трудоспособного возраста, занятого в экономике с 940 чел. до 915 чел.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2017 году в т</w:t>
      </w:r>
      <w:r w:rsidR="006B1BDC">
        <w:rPr>
          <w:rFonts w:ascii="Times New Roman CYR" w:hAnsi="Times New Roman CYR" w:cs="Times New Roman CYR"/>
          <w:sz w:val="28"/>
          <w:szCs w:val="28"/>
          <w:u w:color="FF0000"/>
        </w:rPr>
        <w:t>рудовом отряде Главы города были задействованы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61 человек населения младше трудоспособного возраста, в про</w:t>
      </w:r>
      <w:r w:rsidR="006B1BDC">
        <w:rPr>
          <w:rFonts w:ascii="Times New Roman CYR" w:hAnsi="Times New Roman CYR" w:cs="Times New Roman CYR"/>
          <w:sz w:val="28"/>
          <w:szCs w:val="28"/>
          <w:u w:color="FF0000"/>
        </w:rPr>
        <w:t>гнозируемом периоде 2019-2021 годы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трудовой отряд продолжит свою работу с предполагаемой ежегодной численностью 55-60 человек.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По официальным сведениям МО МВД России "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" на территории города Боготола в 2017 году осуществляли трудовую деятельность 2 иностранных гражданина (1 гражданин республики Украина</w:t>
      </w:r>
      <w:r w:rsidR="006B1BDC"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осу</w:t>
      </w:r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>ществляет трудовую деятельность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в КГБ ПОУ "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техникум транспорта", и 1 гражданин республики Азербайджан занят в торговой сфере деятельности</w:t>
      </w:r>
      <w:r w:rsidR="006B1BDC"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в ООО "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Катех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").</w:t>
      </w:r>
    </w:p>
    <w:p w:rsidR="00FB3E6F" w:rsidRDefault="00027ED1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Численность </w:t>
      </w:r>
      <w:proofErr w:type="gramStart"/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населения</w:t>
      </w:r>
      <w:proofErr w:type="gramEnd"/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 занятого в экономике в 2017 году составила 8 017 чел.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Количество 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населения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занятого в частном секторе в 2017 году составило 1613 чел., из них физических лиц, зарегистрированных в качестве индивидуальных предпринимателей (включенных в Единый реестр субъектов малого и среднего предпринимательства, формируемым ФНС) – 229 чел., количество работающих по найму у данной категории - 468 чел.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Численность населения, обучающихся в трудоспособном возрасте, обучающихся с отрывом от производства в среднем за период 2017 года составляет 1 364 чел., что на 1,6% ниже уровня 2016 года. 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прогнозируемом периоде 2</w:t>
      </w:r>
      <w:r w:rsidR="006B1BDC">
        <w:rPr>
          <w:rFonts w:ascii="Times New Roman CYR" w:hAnsi="Times New Roman CYR" w:cs="Times New Roman CYR"/>
          <w:sz w:val="28"/>
          <w:szCs w:val="28"/>
          <w:u w:color="FF0000"/>
        </w:rPr>
        <w:t>019-2021 годы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ожидается увеличение численности обучающегося населения в трудоспособном возрасте, к 2021 году данный показатель составит 1455 чел., это св</w:t>
      </w:r>
      <w:r w:rsidR="006B1BDC">
        <w:rPr>
          <w:rFonts w:ascii="Times New Roman CYR" w:hAnsi="Times New Roman CYR" w:cs="Times New Roman CYR"/>
          <w:sz w:val="28"/>
          <w:szCs w:val="28"/>
          <w:u w:color="FF0000"/>
        </w:rPr>
        <w:t xml:space="preserve">язано с увеличением </w:t>
      </w:r>
      <w:proofErr w:type="gramStart"/>
      <w:r w:rsidR="006B1BDC">
        <w:rPr>
          <w:rFonts w:ascii="Times New Roman CYR" w:hAnsi="Times New Roman CYR" w:cs="Times New Roman CYR"/>
          <w:sz w:val="28"/>
          <w:szCs w:val="28"/>
          <w:u w:color="FF0000"/>
        </w:rPr>
        <w:t>численности</w:t>
      </w:r>
      <w:proofErr w:type="gramEnd"/>
      <w:r w:rsidR="006B1BDC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учащихся в общеобразовательных учреждениях.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лиц в трудоспособном возрасте, незанятых трудовой деятельностью и учебой в 2017 году составила 1405 чел. Показатель на 6,6% ниже уровня 2016 года, главным образом, по причине сокращения численности трудовых ресурсов вследствие миграции трудоспособного населения.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Уровень зарегистрированной безработицы снизился по сравнению с уровнем 2016 года и на конец 2017 года составил 1,8%. Численность безработных граждан по городу Боготолу на 01.01.2018 года составила 190 человек.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Одним из направлений, позволяющим обеспечить трудоустройство граждан, является организация профессионального обучения и дополнительного профессионального образования. Так в 2017 году на профессиональн</w:t>
      </w:r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>ое обучение было направлено 180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граждан, в том числе 8 женщин, находящихся в отпуске по уходу за ребенком до достижения им возраста трех лет,</w:t>
      </w:r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 xml:space="preserve"> по таким специальностям как: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слесарь по ремонту подвижного состава; продавец продовольственных товаров; штукатур; охранник; монтер пути;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электрогазосварщик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; монтажник изделий из ПВХ; водитель; бухгалтер 1-С; стропальщик; оператор ЭВМ; основы предпринимательской деятельности. Обучение безработных граждан проводилось в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Боготольском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техникуме транспорта,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Боготольском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филиале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Ачинского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колледжа отраслевых технологий и бизнеса, в ДОССАФ, в основном, по заявкам работодателей всех форм собственности по </w:t>
      </w:r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>востребованным профессиям. Доля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трудоустроенных граждан, прошедших профессиональное обучение составляет 84,0% от общей численности, закончивших профессиональное обучение в 2017 году.</w:t>
      </w:r>
    </w:p>
    <w:p w:rsidR="00FB3E6F" w:rsidRDefault="00027ED1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За 2017 год было собрано 2147 вакансий, в том числе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 на общественные, на временное трудоустройство безработных граждан, испытывающих трудности в поиске работы, на временную занятость несовершеннолетних подростков. </w:t>
      </w:r>
    </w:p>
    <w:p w:rsidR="00FB3E6F" w:rsidRDefault="00FB3E6F" w:rsidP="0079757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16"/>
          <w:szCs w:val="16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2017 году 36 городских предприятий различных форм собственности предоставили сведения о высвобождении работников в количестве 234 человек. Это такие предприятия как: ОАО «РЖД»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дистанция электроснабжени</w:t>
      </w:r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 xml:space="preserve">я; </w:t>
      </w:r>
      <w:proofErr w:type="spellStart"/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>Боготольская</w:t>
      </w:r>
      <w:proofErr w:type="spellEnd"/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 xml:space="preserve"> дистанция пути;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АО «Красноярская региональная энергетическая компания»; КГБУЗ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межрайонная больница»; банк «ВТБ-24»; МБУК «Централизованная библиотечная система г. Боготола»; ООО «Водоканал-Сервис».</w:t>
      </w:r>
    </w:p>
    <w:p w:rsidR="00FB3E6F" w:rsidRPr="00497D71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color="FF0000"/>
        </w:rPr>
      </w:pPr>
      <w:r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FB3E6F" w:rsidRPr="00027ED1" w:rsidRDefault="00027ED1" w:rsidP="00027ED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027ED1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Демографическая ситуация</w:t>
      </w:r>
    </w:p>
    <w:p w:rsidR="00027ED1" w:rsidRPr="00027ED1" w:rsidRDefault="00027ED1" w:rsidP="00027ED1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На протяжении нескольких лет демографическая ситуация на территории города Боготола характеризуется снижением общей численности населения, вызванная миграцией населения, прежде всего в крупные мегаполисы, которая с свою очередь наложила отпечаток на демографические процессы в городе, так как уезжают преимущественно молодые люди. Результатом этого явилось: ускоренное старение, снижение рождаемости.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постоянного населения в среднем за 2017 год составила 20 132 человека и сократилась по сравнению с 2016 годом на 1,1%.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Сдерживающее влияние на уменьшение численности населения города оказывает миграция населения. Число выбывших с территории муниципального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образования город Боготол в 2017 году превысило число прибывших на 133 человека (коэффициент миграционного снижения на 10 тыс. человек населения составил -66,1 чел.). Согласно прогнозной оценке миграционная убыль в период 2018-2021 годы составит ежегодно от 70 до 145 человек.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последние годы в городе Боготоле наблюдается стабильная тенденция снижения показателя смертности, в 2017 году по сравнению с 2016 годом численность умерших сократилась на 7%.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2018-2021 годах прогнозируется дальнейшее снижение численности населения города Боготола, что обусловлено миграцией населения и естественной убылью. По оценке численность населения города будет сокращаться от 0,7 % до 1% ежегодно.</w:t>
      </w:r>
    </w:p>
    <w:p w:rsidR="00FB3E6F" w:rsidRPr="00027ED1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color="FF0000"/>
        </w:rPr>
      </w:pPr>
    </w:p>
    <w:p w:rsidR="00FB3E6F" w:rsidRPr="00027ED1" w:rsidRDefault="00027ED1" w:rsidP="00027ED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027ED1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Здравоохранение</w:t>
      </w:r>
    </w:p>
    <w:p w:rsidR="00027ED1" w:rsidRPr="00027ED1" w:rsidRDefault="00027ED1" w:rsidP="00027ED1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Здравоохранение города Боготола на 01.01.2018 года представлено Краевым государственным бюджетным учреждением здравоохранения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МБ», а также частными клиниками ООО "Колибри"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по виду деятельности</w:t>
      </w:r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 xml:space="preserve"> "Стоматологическая практика" и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ООО "Альпина-Мед" - "Общая врачебная практика".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С 2014 года муниципальная больница МБУЗ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ЦРБ» реорганизована в Краевое государственное бюджетное учреждение здравоохранения "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районная больница», с 26.05.2015 -  в Краевое государственное бюджетное учреждение здравоохранения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межрайонная больница» в состав которой входят 4 филиала – это: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Критовская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участковая больница», «Юрьевская участковая больница», две врачебные амбулатории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Вагинская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врачебная амбулатория» и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Большекосульская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 врачебная амбулатория»), 16 фельдшерско-акушерских пунктов и расположенные на территории  муниципального образования: Детская поликлиника, взрослая поликлиника, родильный дом.</w:t>
      </w:r>
    </w:p>
    <w:p w:rsidR="00FB3E6F" w:rsidRPr="00027ED1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color="FF0000"/>
        </w:rPr>
      </w:pPr>
    </w:p>
    <w:p w:rsidR="00FB3E6F" w:rsidRPr="00027ED1" w:rsidRDefault="00027ED1" w:rsidP="00027ED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027ED1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Образование</w:t>
      </w:r>
    </w:p>
    <w:p w:rsidR="00027ED1" w:rsidRPr="00027ED1" w:rsidRDefault="00027ED1" w:rsidP="00027ED1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FA1D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образовательных организаций всех форм собственности на нача</w:t>
      </w:r>
      <w:r w:rsidR="00A73F31">
        <w:rPr>
          <w:rFonts w:ascii="Times New Roman CYR" w:hAnsi="Times New Roman CYR" w:cs="Times New Roman CYR"/>
          <w:sz w:val="28"/>
          <w:szCs w:val="28"/>
          <w:u w:color="FF0000"/>
        </w:rPr>
        <w:t>ло 2018-2019 учебного года – 11, из них 5 общеобразовательных школ, 5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дошкольных о</w:t>
      </w:r>
      <w:r w:rsidR="00A73F31">
        <w:rPr>
          <w:rFonts w:ascii="Times New Roman CYR" w:hAnsi="Times New Roman CYR" w:cs="Times New Roman CYR"/>
          <w:sz w:val="28"/>
          <w:szCs w:val="28"/>
          <w:u w:color="FF0000"/>
        </w:rPr>
        <w:t>бразовательных организаций, 1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учрежден</w:t>
      </w:r>
      <w:r w:rsidR="00FA1DC9">
        <w:rPr>
          <w:rFonts w:ascii="Times New Roman CYR" w:hAnsi="Times New Roman CYR" w:cs="Times New Roman CYR"/>
          <w:sz w:val="28"/>
          <w:szCs w:val="28"/>
          <w:u w:color="FF0000"/>
        </w:rPr>
        <w:t>ие дополнительного образования.</w:t>
      </w:r>
    </w:p>
    <w:p w:rsidR="00872C04" w:rsidRDefault="00872C04" w:rsidP="00FB3E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</w:p>
    <w:p w:rsidR="00FB3E6F" w:rsidRPr="00027ED1" w:rsidRDefault="00027ED1" w:rsidP="00FB3E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  <w:r w:rsidRPr="00027ED1">
        <w:rPr>
          <w:rFonts w:ascii="Times New Roman CYR" w:hAnsi="Times New Roman CYR" w:cs="Times New Roman CYR"/>
          <w:b/>
          <w:sz w:val="28"/>
          <w:szCs w:val="28"/>
          <w:u w:color="FF0000"/>
        </w:rPr>
        <w:t xml:space="preserve">18.1. </w:t>
      </w:r>
      <w:r w:rsidR="00FB3E6F" w:rsidRPr="00027ED1">
        <w:rPr>
          <w:rFonts w:ascii="Times New Roman CYR" w:hAnsi="Times New Roman CYR" w:cs="Times New Roman CYR"/>
          <w:b/>
          <w:sz w:val="28"/>
          <w:szCs w:val="28"/>
          <w:u w:color="FF0000"/>
        </w:rPr>
        <w:t>Дошкольное образование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дошкольных образовательных организаций муниципальной формы собственно</w:t>
      </w:r>
      <w:r w:rsidR="00A96A48">
        <w:rPr>
          <w:rFonts w:ascii="Times New Roman CYR" w:hAnsi="Times New Roman CYR" w:cs="Times New Roman CYR"/>
          <w:sz w:val="28"/>
          <w:szCs w:val="28"/>
          <w:u w:color="FF0000"/>
        </w:rPr>
        <w:t>сти</w:t>
      </w:r>
      <w:r w:rsidR="00A73F31">
        <w:rPr>
          <w:rFonts w:ascii="Times New Roman CYR" w:hAnsi="Times New Roman CYR" w:cs="Times New Roman CYR"/>
          <w:sz w:val="28"/>
          <w:szCs w:val="28"/>
          <w:u w:color="FF0000"/>
        </w:rPr>
        <w:t xml:space="preserve"> на 01.01.</w:t>
      </w:r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>2018 год</w:t>
      </w:r>
      <w:r w:rsidR="00A73F31">
        <w:rPr>
          <w:rFonts w:ascii="Times New Roman CYR" w:hAnsi="Times New Roman CYR" w:cs="Times New Roman CYR"/>
          <w:sz w:val="28"/>
          <w:szCs w:val="28"/>
          <w:u w:color="FF0000"/>
        </w:rPr>
        <w:t>а составило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5</w:t>
      </w:r>
      <w:r w:rsidR="00A73F31">
        <w:rPr>
          <w:rFonts w:ascii="Times New Roman CYR" w:hAnsi="Times New Roman CYR" w:cs="Times New Roman CYR"/>
          <w:sz w:val="28"/>
          <w:szCs w:val="28"/>
          <w:u w:color="FF0000"/>
        </w:rPr>
        <w:t xml:space="preserve"> ед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 xml:space="preserve">Количество мест в дошкольных образовательных организациях государственной и частной форм собственности на </w:t>
      </w:r>
      <w:r w:rsidR="004357CD">
        <w:rPr>
          <w:rFonts w:ascii="Times New Roman CYR" w:hAnsi="Times New Roman CYR" w:cs="Times New Roman CYR"/>
          <w:sz w:val="28"/>
          <w:szCs w:val="28"/>
          <w:u w:color="FF0000"/>
        </w:rPr>
        <w:t>конец 2017 года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составляет 116.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детей в возрасте от 3 до 7 лет (с учетом детей 7 лет),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на конец периода составляет 1085 человек, в 2018 году – 1055 человек.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Численность детей в возрасте от 5 до 7 лет (с учетом детей 7 лет),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всех форм собственности, на конец 2017 года и </w:t>
      </w:r>
      <w:r w:rsidR="006D0370">
        <w:rPr>
          <w:rFonts w:ascii="Times New Roman CYR" w:hAnsi="Times New Roman CYR" w:cs="Times New Roman CYR"/>
          <w:sz w:val="28"/>
          <w:szCs w:val="28"/>
          <w:u w:color="FF0000"/>
        </w:rPr>
        <w:t>начало 2018 года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неизменна: 585 человек.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Численность детей в возрасте от 1 до 6 лет, получающих дошкольную образовательную услугу и (или) услугу по их содержанию в организациях, осуществляющих образовательную деятельность по образовательным программам дошкольного образования, присмотр и уход за детьми, муниципальной формы собственности, на конец 2017 и </w:t>
      </w:r>
      <w:r w:rsidR="009B0A7D">
        <w:rPr>
          <w:rFonts w:ascii="Times New Roman CYR" w:hAnsi="Times New Roman CYR" w:cs="Times New Roman CYR"/>
          <w:sz w:val="28"/>
          <w:szCs w:val="28"/>
          <w:u w:color="FF0000"/>
        </w:rPr>
        <w:t xml:space="preserve">начало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2018 годов неизменна: 1157 человек.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воспитанников в дошкольных образовательных организациях всех форм собственности на конец периода: 1268 человек (с учетом ведомственного детского сада).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Численность воспитанников в дошкольных образовательных организациях муниципальной формы собственности, на конец 2017 и </w:t>
      </w:r>
      <w:r w:rsidR="009B0A7D">
        <w:rPr>
          <w:rFonts w:ascii="Times New Roman CYR" w:hAnsi="Times New Roman CYR" w:cs="Times New Roman CYR"/>
          <w:sz w:val="28"/>
          <w:szCs w:val="28"/>
          <w:u w:color="FF0000"/>
        </w:rPr>
        <w:t xml:space="preserve">начало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2018 годов неизменна: 1157 человек.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Доля детей в возрасте от 5 до 7 лет, получающих дошкольные образовательные услуги в образовательных организациях всех форм собственности,</w:t>
      </w:r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 xml:space="preserve"> составляет 85,6 (на территории города Боготола проживает 2191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ребенок дошкольного возраста, из них 1268 детей посещают детский сад).               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В 2017 году в муниципальные детские сады города по</w:t>
      </w:r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 xml:space="preserve">лучили путевки 195 дошкольников. Окончили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дошкольное образование 218 воспитанников.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Детей от 1 до 6 лет, состоящих на учете для определения в дошкольные образовательные организации всех форм собственности, в 2017-2018 годах нет. 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Детей от 1 до 6 лет, состоящих на учете для определения в дошкольные образовательные учреждения муниципальной формы собственности, в 2017-2018 годах нет.  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детей в расчете на 100 мест в дошкольных образовательных организациях, в 2017 году – 109, в 2018 году – 108.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Обеспеченность дошкольными образовательными организациями детей в возрасте от 1 до 6 лет, в 2017 году – 66,3%, в 2018 году – 66,2%.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Во всех детских садах созданы необходимые условия для медицинского и социально-психологического обеспечения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воспитательно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-образовательного процесса. Для проведения специальных коррекционных занятий с детьми, имеющими нарушения речевого развития, оборудован кабинет учителя – логопеда (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логопункт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) в детских садах №8; №9; №10. Для медицинского обслуживания, лечебно-оздоровительной работы: медицинские кабинеты, процедурные кабинеты, изоляторы, спортивные и музыкальные залы.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      Для удовлетворения потребности населения в образовательных услугах во всех детских садах действует консультационный пункт для родителей по вопросам обучения и воспитания детей дошкольного возраста, не посещающих дошкольные учреждения. В состав консультационного пункта входят специалисты и воспитатели детских садов.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Pr="00027ED1" w:rsidRDefault="00027ED1" w:rsidP="00FB3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  <w:r w:rsidRPr="00027ED1">
        <w:rPr>
          <w:rFonts w:ascii="Times New Roman CYR" w:hAnsi="Times New Roman CYR" w:cs="Times New Roman CYR"/>
          <w:b/>
          <w:sz w:val="28"/>
          <w:szCs w:val="28"/>
          <w:u w:color="FF0000"/>
        </w:rPr>
        <w:t xml:space="preserve">18.2. </w:t>
      </w:r>
      <w:r w:rsidR="00FB3E6F" w:rsidRPr="00027ED1">
        <w:rPr>
          <w:rFonts w:ascii="Times New Roman CYR" w:hAnsi="Times New Roman CYR" w:cs="Times New Roman CYR"/>
          <w:b/>
          <w:sz w:val="28"/>
          <w:szCs w:val="28"/>
          <w:u w:color="FF0000"/>
        </w:rPr>
        <w:t>Общее образование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Default="00FB3E6F" w:rsidP="00027ED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дневных и вечерних общеобразовательных организаций мун</w:t>
      </w:r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>иципальной формы собственности,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на начало 2018-2019 учебного года – 5.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2017-2018 годах в муниципалитете не планировалось введение в эксплуатацию зданий и сооружений общеобразовательных организаций.   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реконструированных зданий и сооружений общеобразовательных организаций муниципальной формы собственности в 2017 году - 2: МБДОУ ДС № 8, № 10, в 2018 году – 1: МБОУ СОШ № 2.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капитально отремонтированных зданий и сооружений общеобразовательных организаций муниципальной ф</w:t>
      </w:r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>ормы собственности, в 2017 году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– 1: МБОУ «СОШ № 3», в 2018 году- 1: МБОУ «СОШ № 3».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Количество зданий и сооружений общеобразовательных организаций муниципальной формы собственности, требующих реконструкции, в 2017 году – 2: МБДОУ ДС № 8, № 10, в 2018 году 1: МБОУ СОШ № 2. 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зданий и сооружений общеобразовательных организаций муниципальной формы собственности, требующих капитального ремонта, в 2017 году – 1 (МБОУ «СОШ № 3»), в 2018 году – 1 (МБОУ «СОШ № 3»).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учащихся в дневных и вечерних общеобразовательных организациях государственной и муниципальной форм собственности, на начало 2017-2018 учебного года - 2728 человек, из них 117 – обучающиеся по адаптированной программе для детей с умственной отсталостью; на начало 2018-2019</w:t>
      </w:r>
      <w:r w:rsidR="00027ED1">
        <w:rPr>
          <w:rFonts w:ascii="Times New Roman CYR" w:hAnsi="Times New Roman CYR" w:cs="Times New Roman CYR"/>
          <w:sz w:val="28"/>
          <w:szCs w:val="28"/>
          <w:u w:color="FF0000"/>
        </w:rPr>
        <w:t xml:space="preserve"> учебного года планируется 2770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человек, из них 120 – обучающиеся по адаптированной программе для детей с умственной отсталостью.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Обеспеченность общеобразовательных организаций компьютерами (количество обучающихся на 1 компьютер) составляет в 2017, 2018 годах – 7.</w:t>
      </w:r>
    </w:p>
    <w:p w:rsidR="00FB3E6F" w:rsidRDefault="00FB3E6F" w:rsidP="00027ED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 CYR" w:hAnsi="Arial CYR" w:cs="Arial CYR"/>
          <w:sz w:val="16"/>
          <w:szCs w:val="16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 xml:space="preserve">Численность учащихся в дневных образовательных организациях муниципальной формы собственности занимающихся во вторую (третью) смену, на начало 2017-2018 и 2018-2019 учебных годов – 910 человек. Доля обучающихся в муниципальных общеобразовательных учреждениях, занимающихся во вторую (третью) смену, в общей 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численности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обучающихся в муниципальных общеобразовательных учрежде</w:t>
      </w:r>
      <w:r w:rsidR="009B0A7D">
        <w:rPr>
          <w:rFonts w:ascii="Times New Roman CYR" w:hAnsi="Times New Roman CYR" w:cs="Times New Roman CYR"/>
          <w:sz w:val="28"/>
          <w:szCs w:val="28"/>
          <w:u w:color="FF0000"/>
        </w:rPr>
        <w:t>ниях в 2018 году составила 33,3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%, в 2017 - 31,42%.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учащихся, приходящихся на одного учителя, работающего в дневных общеобразовательных организациях муниципальной формы собственности, на начало 2017-2018 учебного года составляла 21 человек, на начало 2016 – 2017 учебного года – 22 человека.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выпускников 11 классов дневных общеобразовательных организаций муниципальной формы собственности в городских поселениях, на конец 2016-2017 учебного года - 95 человек, на конец 2017-2018 учебного года – 113 человек.</w:t>
      </w:r>
    </w:p>
    <w:p w:rsidR="00FB3E6F" w:rsidRDefault="00FB3E6F" w:rsidP="00027ED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выпускников 9 классов дневных общеобразовательных организаций муниципальной форм собственности, на конец 2016-2017 учебного года – 201 человек, на конец 2017-2018 учебного года – 200 человек.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выпускников дневных общеобразовательных организаций государственной и муниципальной форм собственности, сдававших единый государственный экзамен, в 2017 году – 95 человек, в 2018 году – 113 человек.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выпускников дневных общеобразовательных организаций муниципальной формы собственности, не получивших аттестат о среднем (полном) образовании, в 2017 году – 5 человек, в 2018 году – 0 человек.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учителей в школах г</w:t>
      </w:r>
      <w:r w:rsidR="007C6264">
        <w:rPr>
          <w:rFonts w:ascii="Times New Roman CYR" w:hAnsi="Times New Roman CYR" w:cs="Times New Roman CYR"/>
          <w:sz w:val="28"/>
          <w:szCs w:val="28"/>
          <w:u w:color="FF0000"/>
        </w:rPr>
        <w:t xml:space="preserve">орода 2018 году составляет 130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человек. В 2017 году - 124. 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прочего персонала дневных общеобразовательных организаций муниципальной формы собственности, на начало 2017-2018, 2016-2017 учебных годов неизменна: 137 человек.</w:t>
      </w:r>
    </w:p>
    <w:p w:rsidR="007C6264" w:rsidRDefault="007C6264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Pr="007C6264" w:rsidRDefault="007C6264" w:rsidP="00FB3E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  <w:r w:rsidRPr="007C6264">
        <w:rPr>
          <w:rFonts w:ascii="Times New Roman CYR" w:hAnsi="Times New Roman CYR" w:cs="Times New Roman CYR"/>
          <w:b/>
          <w:sz w:val="28"/>
          <w:szCs w:val="28"/>
          <w:u w:color="FF0000"/>
        </w:rPr>
        <w:t>18.3</w:t>
      </w:r>
      <w:r>
        <w:rPr>
          <w:rFonts w:ascii="Times New Roman CYR" w:hAnsi="Times New Roman CYR" w:cs="Times New Roman CYR"/>
          <w:b/>
          <w:sz w:val="28"/>
          <w:szCs w:val="28"/>
          <w:u w:color="FF0000"/>
        </w:rPr>
        <w:t>.</w:t>
      </w:r>
      <w:r w:rsidRPr="007C6264">
        <w:rPr>
          <w:rFonts w:ascii="Times New Roman CYR" w:hAnsi="Times New Roman CYR" w:cs="Times New Roman CYR"/>
          <w:b/>
          <w:sz w:val="28"/>
          <w:szCs w:val="28"/>
          <w:u w:color="FF0000"/>
        </w:rPr>
        <w:t xml:space="preserve"> Дополнительное образование</w:t>
      </w:r>
    </w:p>
    <w:p w:rsidR="00FB3E6F" w:rsidRPr="007C6264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sz w:val="28"/>
          <w:szCs w:val="28"/>
          <w:u w:color="FF0000"/>
        </w:rPr>
      </w:pPr>
      <w:r w:rsidRPr="007C6264">
        <w:rPr>
          <w:rFonts w:ascii="Times New Roman CYR" w:hAnsi="Times New Roman CYR" w:cs="Times New Roman CYR"/>
          <w:b/>
          <w:sz w:val="28"/>
          <w:szCs w:val="28"/>
          <w:u w:color="FF0000"/>
        </w:rPr>
        <w:t xml:space="preserve">  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учреждений дополнительного образования детей муниципальной формы собственности, находящихся в ведении органа управления образования, - 1: Дом детского творчества.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учреждений дополнительного образования детей муниципальной формы собственности, находящихся в ведении органа управления культуры, - 2: Детская школа искусств и Детская музыкальная школа.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Численность детей, получающих услуги по дополнительному образованию в учреждениях дополнительного образования всех форм собственности,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находящихся в ведении системы образования, на начало 2017 - 2018 учебного года составила 900 человек, на начало 2018 - 2019 учебного года – 800 человек.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детей в возрасте 5-18 лет, получающих услуги по дополнительному образованию в организациях всех форм собственности, в 2017 году составила 3 200 человек (включая ДШИ, ДМШ, ДЮСШ, ДДТ, МБОУ СОШ), в 2018 году – 2</w:t>
      </w:r>
      <w:r w:rsidR="007C6264">
        <w:rPr>
          <w:rFonts w:ascii="Times New Roman CYR" w:hAnsi="Times New Roman CYR" w:cs="Times New Roman CYR"/>
          <w:sz w:val="28"/>
          <w:szCs w:val="28"/>
          <w:u w:color="FF0000"/>
        </w:rPr>
        <w:t>541 человек: (включая ДШИ, ДМШ,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ДДТ, МБОУ СОШ)</w:t>
      </w:r>
      <w:r w:rsidR="007C6264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детей в возрасте 5-18 лет, получающих услуги по дополнительному образованию в организациях всех форм собственности сферы «Образование», в 2017 году составляла – 2409 человек, в 2018 году – 1814 человек: (включая ДДТ, МБОУ СОШ)</w:t>
      </w:r>
      <w:r w:rsidR="007C6264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Доля детей в возрасте от 5 до 18 лет, получающих услуги по дополнительному образованию в организациях всех форм собственности, в общей численности детей данной возрастной группы, составляет в 2017 - 2018 годах – 79,4%</w:t>
      </w:r>
      <w:r w:rsidR="007C6264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детей школьного возраста (от 7 до 17 лет), охваченных организованными формами отдыха, оздоровления и занятости за период летней оздоровительной кампании составляет в 2017 – 2018 годах – 1830 человек: (лагеря с дневным пребыванием детей, загородные оздоровительные лагеря, трудовые отряды, участие в профильных сменах)</w:t>
      </w:r>
      <w:r w:rsidR="007C6264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Доля детей школьного возраста (от 7 до 17 лет), охваченных организованными формами отдыха, оздоровления и занятости за период летней оздоровительной кампании, составляет в 2017-2018 годах – 69%.</w:t>
      </w:r>
    </w:p>
    <w:p w:rsidR="00FB3E6F" w:rsidRPr="007C6264" w:rsidRDefault="00FB3E6F" w:rsidP="007C62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highlight w:val="yellow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</w:p>
    <w:p w:rsidR="00FB3E6F" w:rsidRPr="007C6264" w:rsidRDefault="007C6264" w:rsidP="007C6264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7C6264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Культура</w:t>
      </w:r>
    </w:p>
    <w:p w:rsidR="007C6264" w:rsidRPr="007C6264" w:rsidRDefault="007C6264" w:rsidP="007C6264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2017 году численность работников общедоступных библиотек муниципальной формы собственности составила 29 человек. Число зарегистрированных пользователей Централизованной библиотечной системы Боготола, объединяющей 5 библиотек, составляет 11367 человек или 56,5 % населения города. Книговыдача составляет 212700 экземпляров. Число посещений библиотек города составляет 62406 человек за год. Объем электронного каталога достигает 51048 записей. Объём новых поступлений в фонды библиотек на 1000 жителей составляет 282 экземпляров. В МБУК «Централизованная библиотечная система» города Боготола действует 12</w:t>
      </w:r>
      <w:r>
        <w:rPr>
          <w:rFonts w:ascii="Times New Roman CYR" w:hAnsi="Times New Roman CYR" w:cs="Times New Roman CYR"/>
          <w:color w:val="FF0000"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клубов по интересам и 1 социальная группа. Постоянными членами клубов являются 205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человек.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Обеспеченность библиотечным фондом общедоступных библиотек муниципальной формы собственности на 1 тыс. человек населения (2017год): 100600/20132*1000=5040 экз.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Численность работников организаций культурно-досугового типа муниципальной формы собственности - 14 человек. Особая роль в организации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досуга населения отводится клубам по интересам, в культурно-досуговом центре «Зодиак» их функционирует 17 с участниками клубных формирований 330 человек.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2017 году учреждениями клубного типа проведено 173 мероприятий, из них 73 (42,2%) для детской аудитории. Численность посетителей на платных мероприятиях учреждений культурно-досугового типа всех форм собственности 8750 человек.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Обеспеченность учреждениями культурно-досугового типа всех форм собственности на 100 тыс. человек населения (2017 год): 1/20132*100000= 4,69.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2017 году численность работников в учреждениях музейного типа муниципальной формы собственности - 8 человек.  Учитывая важность постановки вопроса о сохранности музейного фонда и развития музейного дела, продолжилась работа городского краеведческого музея по совершенствованию учетно-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хранительской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деятельности. Количество экспонатов основного фонда увеличилось до 6113 экспонатов. Количество музейных предметов, внесенных в электронный каталог доступные в Интернете составляет 200 единиц. В соответствии с планом-графиком регистрации музейных предметов в Государственном каталоге Музейного фонда Российской Федерации Муниципального бюджетного учреждения культуры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городской краеведческий музей» необходимо распределение предметов, планируемых к внесению в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Госкаталог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до 31.12.2025 в количестве 5767 е</w:t>
      </w:r>
      <w:r w:rsidR="007C6264">
        <w:rPr>
          <w:rFonts w:ascii="Times New Roman CYR" w:hAnsi="Times New Roman CYR" w:cs="Times New Roman CYR"/>
          <w:sz w:val="28"/>
          <w:szCs w:val="28"/>
          <w:u w:color="FF0000"/>
        </w:rPr>
        <w:t>д., в том числе в период 2017-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2023 гг. – 800 ед., 2024 г</w:t>
      </w:r>
      <w:r w:rsidR="007C6264">
        <w:rPr>
          <w:rFonts w:ascii="Times New Roman CYR" w:hAnsi="Times New Roman CYR" w:cs="Times New Roman CYR"/>
          <w:sz w:val="28"/>
          <w:szCs w:val="28"/>
          <w:u w:color="FF0000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– 767 ед.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Вместе со вспомогательным фондом число экспонатов составляет 7598 единиц. Экспозиционная площадь составляет 218,9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. Число экспонировавшихся предметов 2025 единиц, что составляет 33% музейных предметов. Важным показателем работы музеев является экспозиционная и выставочная деятельность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Проведено 146 экскурсий, за год в музее побывало 2393 посетителей. Организовано 27 выставок.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Обеспеченность учреждениями музейного типа всех форм собственности на 100 тыс. человек населения (2017год): 1/20132*100000= 4,93.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киноустановок муниципальной формы собственности в 2017 году - 2 ед. (МБУК КДЦ "Зодиак" и МБУК "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городской краеведческий музей"). Число сеансов в 2017 году - 18, из них на платной основе - 4, социальных показ - 14. Число зрителей - 485, в том числе на платной основе - 120, социальный показ - 365.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2017 году количество детей в возрасте 5 - 18 лет, получающих услуги по дополнительному образованию в сфере культуры, составила 728 человек. Численность работников детских музыкальных, художественных, хореографических, театральных школ и школ искусств – 44 чел. Численность преподавателей детских музыкальных, художественных, хореографических, театральных школ и школ искусств - 29 чел.   В Детской школе искусств (ДШИ)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 xml:space="preserve">и Детской музыкальной школе (ДМШ) продолжилось внедрение предпрофессиональных дополнительных образовательных программ, предусматривающих итоговую аттестацию обучающегося в соответствии с федеральными государственными стандартами. В настоящее время около 22,1% обучающихся (ДМШ – 52 чел., ДШИ – 109 чел.) проходят обучение по этим программам. О высоком уровне подготовки обучающихся свидетельствует их успешное участие в конкурсах, фестивалях, выставках разных уровней. В 2017 году обладателями призовых мест стали 130 чел. (в 2016г. – 111 детей), 7 выпускников ДШИ поступили в ВУЗы и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СУЗы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по профилю. Охват детского населения дополнительными образовательными программами в области искусств достаточно высок (более 30%). В части улучшения материально-технической базы учреждений дополнительного образования детей с сфере культуры требуется обновление музыкальных инструментов.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Продолжается реконструкция городского парка. В 2017 году на реализацию муниципальным бюджетным учреждением культуры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городской парк культуры и отдыха» социокультурного проекта «Зеленый друг города» в соответствии с Постановлением правительства Красноярского края от 08.06.2017 №317-п выделены средства в размере 5 000 000,00 (пять миллионов) рублей 00 копеек.</w:t>
      </w: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 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За счет средств краевого бюджета выполнены следующие виды работ: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 устройство асфальтобетонных покрытий дорожек протяженностью 2580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.;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 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устройство покрытий из брусчатки протяженностью 1280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.;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укладка водоотводных лотков в количестве 10 шт.;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 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укладка крышек для водоотводных лотков в количестве 35 шт.;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 установка опор освещения - 50 шт.;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 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установка осветительных щитов – 2 шт.;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прокладка кабеля протяженностью 886 м.;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 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установка бортовых камней;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 приобретение сцены (размером 4х6 м).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За счет средств местного бюджета выполнены работы по монтажу металлических конструкций подиума и павильона (сцены).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 2021 году должна завершиться реконструкция парка, обслуживанием которого будут заниматься службы города, а мероприятия проводить будут сотрудники учреждения клубного типа.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Объем капитальных вложений за счет всех источников финансирования на строительство, реконструкцию и капитальный ремонт объектов культу и искусства в 2017 году составил 290,0 тыс. руб. На данные средства составлена проектно-сметная документация по капитальному ремонту крыши библиотеки-филиала №1 МБУК ЦБС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г.Боготола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7C6264" w:rsidRPr="009B0A7D" w:rsidRDefault="007C6264" w:rsidP="009B0A7D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Pr="007C6264" w:rsidRDefault="007C6264" w:rsidP="007C6264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lastRenderedPageBreak/>
        <w:t xml:space="preserve"> </w:t>
      </w:r>
      <w:r w:rsidR="00FB3E6F" w:rsidRPr="007C6264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Физическая культура и спорт</w:t>
      </w:r>
    </w:p>
    <w:p w:rsidR="007C6264" w:rsidRPr="007C6264" w:rsidRDefault="007C6264" w:rsidP="007C6264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Сеть спортивно-оздоровительных объектов города Боготола включает в себя: муниципальное бюджетное учреждение физкультурно-оздоровительный центр «Здрава», муниципальное бюджетное образовательное учреждение дополнительного образования детей «Детско-юношеская спортивная школа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г.Боготола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», ведомственный спортивный комплекс ст. Боготол, 4 спортивных зала в общеобразовательных учреждениях, 17 плоскостных спортивных сооружений. МБОУ ДОД «Детско-юношеская спортивная школа г. Боготола» находится в ведении органов управления физической культуры и спорта.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городе функционируют 4 клуба по месту жительства, 5 физкультурно-спортивных клубов при образовательных учреждениях.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МБОУ ДОД «Детско-юношеская спортивная школа г. Боготола» занимается 294 воспитанника (увеличение по отношению к 2016 году на 2,8%).  Работает пять отделений</w:t>
      </w:r>
      <w:r w:rsidR="009B0A7D">
        <w:rPr>
          <w:rFonts w:ascii="Times New Roman CYR" w:hAnsi="Times New Roman CYR" w:cs="Times New Roman CYR"/>
          <w:sz w:val="28"/>
          <w:szCs w:val="28"/>
          <w:u w:color="FF0000"/>
        </w:rPr>
        <w:t>: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по баскетболу, рукопашному бою, легкой атлетике, пауэрлифтингу и футболу.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пяти общеобразовательных школах города физической культурой и спортом в форме общеобразовательного урока физкультуры занимаются 2649 человек.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Общая площадь спортивных залов города составляет 2</w:t>
      </w:r>
      <w:r w:rsidR="009B0A7D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152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., общая площадь пр</w:t>
      </w:r>
      <w:r w:rsidR="007C6264">
        <w:rPr>
          <w:rFonts w:ascii="Times New Roman CYR" w:hAnsi="Times New Roman CYR" w:cs="Times New Roman CYR"/>
          <w:sz w:val="28"/>
          <w:szCs w:val="28"/>
          <w:u w:color="FF0000"/>
        </w:rPr>
        <w:t>остейших плоскостных сооружений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9B0A7D">
        <w:rPr>
          <w:rFonts w:ascii="Times New Roman CYR" w:hAnsi="Times New Roman CYR" w:cs="Times New Roman CYR"/>
          <w:sz w:val="28"/>
          <w:szCs w:val="28"/>
          <w:u w:color="FF0000"/>
        </w:rPr>
        <w:t>–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21</w:t>
      </w:r>
      <w:r w:rsidR="009B0A7D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483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. 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На базе всех общеобразовательных школ работают физкультурно-оздоровительные клубы. Общая численность занимающихся составляет 457 человек.</w:t>
      </w:r>
    </w:p>
    <w:p w:rsidR="00FB3E6F" w:rsidRDefault="00FB3E6F" w:rsidP="007C62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Численность населения, систематически занимающегося физкультурой и спортом на 01.01.2018 года составила 6</w:t>
      </w:r>
      <w:r w:rsidR="009B0A7D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543 чел. (увеличение на 16,2%</w:t>
      </w:r>
      <w:r w:rsidR="009B0A7D">
        <w:rPr>
          <w:rFonts w:ascii="Times New Roman CYR" w:hAnsi="Times New Roman CYR" w:cs="Times New Roman CYR"/>
          <w:sz w:val="28"/>
          <w:szCs w:val="28"/>
          <w:u w:color="FF0000"/>
        </w:rPr>
        <w:t xml:space="preserve"> к уровню 2016 года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, в основном вследствие внедрения Всероссийского физкультурно-спортивного комплекса ГТО). Уровень фактической обеспеченности спортивными залами от нормативной потр</w:t>
      </w:r>
      <w:r w:rsidR="009B0A7D">
        <w:rPr>
          <w:rFonts w:ascii="Times New Roman CYR" w:hAnsi="Times New Roman CYR" w:cs="Times New Roman CYR"/>
          <w:sz w:val="28"/>
          <w:szCs w:val="28"/>
          <w:u w:color="FF0000"/>
        </w:rPr>
        <w:t>ебности (30,37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%); уровень фактической обеспеченности плоскостными спортивными сооружениями от нормативной потребн</w:t>
      </w:r>
      <w:r w:rsidR="009B0A7D">
        <w:rPr>
          <w:rFonts w:ascii="Times New Roman CYR" w:hAnsi="Times New Roman CYR" w:cs="Times New Roman CYR"/>
          <w:sz w:val="28"/>
          <w:szCs w:val="28"/>
          <w:u w:color="FF0000"/>
        </w:rPr>
        <w:t>ости в 2017 году составил 52,47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%, уровень фактической обеспеченности плавательными бассейнами от</w:t>
      </w:r>
      <w:r w:rsidR="009B0A7D">
        <w:rPr>
          <w:rFonts w:ascii="Times New Roman CYR" w:hAnsi="Times New Roman CYR" w:cs="Times New Roman CYR"/>
          <w:sz w:val="28"/>
          <w:szCs w:val="28"/>
          <w:u w:color="FF0000"/>
        </w:rPr>
        <w:t xml:space="preserve"> нормативной потребности – 8,23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%.</w:t>
      </w:r>
    </w:p>
    <w:p w:rsidR="00FB3E6F" w:rsidRPr="005A38C4" w:rsidRDefault="00FB3E6F" w:rsidP="005A38C4">
      <w:pPr>
        <w:pStyle w:val="a3"/>
        <w:rPr>
          <w:sz w:val="28"/>
          <w:szCs w:val="28"/>
          <w:u w:color="FF0000"/>
        </w:rPr>
      </w:pPr>
    </w:p>
    <w:p w:rsidR="00FB3E6F" w:rsidRPr="007C6264" w:rsidRDefault="007C6264" w:rsidP="007C6264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7C6264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Социальная защита населения</w:t>
      </w:r>
    </w:p>
    <w:p w:rsidR="007C6264" w:rsidRPr="007C6264" w:rsidRDefault="007C6264" w:rsidP="007C6264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7C62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Учитывая политику, проводимую на федеральном и краевом уровнях, работа социальной защиты должна быть направлена не только на обеспечение гражданам гарантированных социальных обязательств, но и на развитие действующей системы социальной защиты, повышения ее эффективности.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Социальная защита должна работать на опережение, то есть вовремя выявлять нуждаемость, оказывать адресную и эффективную помощь.</w:t>
      </w:r>
    </w:p>
    <w:p w:rsidR="009B0A7D" w:rsidRDefault="009B0A7D" w:rsidP="007C62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8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Pr="009B0A7D" w:rsidRDefault="009B0A7D" w:rsidP="009B0A7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sz w:val="28"/>
          <w:szCs w:val="28"/>
          <w:highlight w:val="white"/>
          <w:u w:color="FF0000"/>
        </w:rPr>
      </w:pPr>
      <w:r w:rsidRPr="009B0A7D">
        <w:rPr>
          <w:rFonts w:ascii="Times New Roman CYR" w:hAnsi="Times New Roman CYR" w:cs="Times New Roman CYR"/>
          <w:i/>
          <w:sz w:val="28"/>
          <w:szCs w:val="28"/>
          <w:highlight w:val="white"/>
          <w:u w:color="FF0000"/>
        </w:rPr>
        <w:t>Сведения о численности граждан, которым предоставляется социальная поддержка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693"/>
        <w:gridCol w:w="2835"/>
      </w:tblGrid>
      <w:tr w:rsidR="00FB3E6F" w:rsidTr="00A77B3D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A77B3D" w:rsidRDefault="00FB3E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A77B3D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  <w:u w:color="FF0000"/>
              </w:rPr>
              <w:t>2016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6F" w:rsidRPr="00A77B3D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b/>
                <w:bCs/>
                <w:sz w:val="24"/>
                <w:szCs w:val="24"/>
                <w:highlight w:val="white"/>
                <w:u w:color="FF0000"/>
              </w:rPr>
              <w:t>2017 год</w:t>
            </w:r>
          </w:p>
        </w:tc>
      </w:tr>
      <w:tr w:rsidR="00FB3E6F" w:rsidTr="00A77B3D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A77B3D" w:rsidRDefault="00FB3E6F" w:rsidP="00A7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Численность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A77B3D" w:rsidRDefault="00A77B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20</w:t>
            </w:r>
            <w:r w:rsidR="00281088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361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6F" w:rsidRPr="00A77B3D" w:rsidRDefault="00A77B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20 132</w:t>
            </w:r>
          </w:p>
        </w:tc>
      </w:tr>
      <w:tr w:rsidR="00FB3E6F" w:rsidTr="00A77B3D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A77B3D" w:rsidRDefault="00FB3E6F" w:rsidP="00A7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Численность пенсионеров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A77B3D" w:rsidRDefault="00FB3E6F">
            <w:pPr>
              <w:tabs>
                <w:tab w:val="left" w:pos="11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6</w:t>
            </w:r>
            <w:r w:rsidR="00281088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 xml:space="preserve"> </w:t>
            </w: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476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6F" w:rsidRPr="00A77B3D" w:rsidRDefault="00FB3E6F">
            <w:pPr>
              <w:tabs>
                <w:tab w:val="left" w:pos="11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6</w:t>
            </w:r>
            <w:r w:rsidR="00281088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 xml:space="preserve"> </w:t>
            </w: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419</w:t>
            </w:r>
          </w:p>
        </w:tc>
      </w:tr>
      <w:tr w:rsidR="00FB3E6F" w:rsidTr="00A77B3D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A77B3D" w:rsidRDefault="00FB3E6F" w:rsidP="00A7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Численность граждан, имеющих группу инвалидности, в том числе дети-инвалиды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A77B3D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</w:p>
          <w:p w:rsidR="00FB3E6F" w:rsidRPr="00A77B3D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1</w:t>
            </w:r>
            <w:r w:rsidR="00281088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 xml:space="preserve"> </w:t>
            </w: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283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6F" w:rsidRPr="00A77B3D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</w:p>
          <w:p w:rsidR="00FB3E6F" w:rsidRPr="00A77B3D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1</w:t>
            </w:r>
            <w:r w:rsidR="00281088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 xml:space="preserve"> </w:t>
            </w: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293</w:t>
            </w:r>
          </w:p>
        </w:tc>
      </w:tr>
      <w:tr w:rsidR="00FB3E6F" w:rsidTr="00A77B3D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A77B3D" w:rsidRDefault="00FB3E6F" w:rsidP="00A7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Количество пенсионеров, получающих пенсию ниже прожиточного минимума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A77B3D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</w:p>
          <w:p w:rsidR="00FB3E6F" w:rsidRPr="00A77B3D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1</w:t>
            </w:r>
            <w:r w:rsidR="00281088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 xml:space="preserve"> </w:t>
            </w: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139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6F" w:rsidRPr="00A77B3D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</w:p>
          <w:p w:rsidR="00FB3E6F" w:rsidRPr="00A77B3D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1</w:t>
            </w:r>
            <w:r w:rsidR="00281088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 xml:space="preserve"> </w:t>
            </w: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124</w:t>
            </w:r>
          </w:p>
        </w:tc>
      </w:tr>
      <w:tr w:rsidR="00FB3E6F" w:rsidTr="00A77B3D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A77B3D" w:rsidRDefault="00FB3E6F" w:rsidP="00A77B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Количество детей, получающих ежемесячное пособие на ребенка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A77B3D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1</w:t>
            </w:r>
            <w:r w:rsidR="00281088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 xml:space="preserve"> </w:t>
            </w: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173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6F" w:rsidRPr="00A77B3D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</w:pP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1</w:t>
            </w:r>
            <w:r w:rsidR="00281088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 xml:space="preserve"> </w:t>
            </w:r>
            <w:r w:rsidRPr="00A77B3D">
              <w:rPr>
                <w:rFonts w:ascii="Times New Roman CYR" w:hAnsi="Times New Roman CYR" w:cs="Times New Roman CYR"/>
                <w:sz w:val="24"/>
                <w:szCs w:val="24"/>
                <w:highlight w:val="white"/>
                <w:u w:color="FF0000"/>
              </w:rPr>
              <w:t>211</w:t>
            </w:r>
          </w:p>
        </w:tc>
      </w:tr>
    </w:tbl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</w:p>
    <w:p w:rsidR="00FB3E6F" w:rsidRDefault="00FB3E6F" w:rsidP="00A77B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Вопросу усиления адресности и эффективности предоставления социальной поддержки уделяется особое внимание, в том числе и на фе</w:t>
      </w:r>
      <w:r w:rsidR="00A77B3D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деральном уровне.  С этой целью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:</w:t>
      </w:r>
    </w:p>
    <w:p w:rsidR="00FB3E6F" w:rsidRDefault="00FB3E6F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- введен критерий «трудоспособность» при предоставлении «ежемесячного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пособия на ребенка», т.е. пособие не назначается родителям трудоспособного возраста, не работающим без уважительной причины;</w:t>
      </w:r>
    </w:p>
    <w:p w:rsidR="00FB3E6F" w:rsidRDefault="00FB3E6F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меры социальной поддержки на оплату жилья и коммунальных услуг предоставляются только при отсутствии задолженности по оплате или заключении соглашения о ее погашении;</w:t>
      </w:r>
    </w:p>
    <w:p w:rsidR="00FB3E6F" w:rsidRDefault="00FB3E6F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 ежемесячная денежная выплата на ребенка в возрасте от 1,5 до 3 лет, которому не предоставлено место в дошкольной образовательной организации выплачивается только многодетным семьям, одиноким матерям и студенческим семьям. </w:t>
      </w:r>
    </w:p>
    <w:p w:rsidR="00FB3E6F" w:rsidRDefault="00FB3E6F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Важной составляющей эффективного управления является принцип вовлечения граждан в текущую работу управления, в том числе изучение общественного мнения, выявление и устранение замечаний со стороны граждан по качеству и 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организации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процесса предоставления государственных с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оциальных услуг. С этой целью, начиная с 2012 года, проводится 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«Декада качества».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По итогам проведения которой, принимается план 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мероприятий по повышению качества и эффективности предоставления социальных услуг.   Данные анкетирования показывают 100% удовлетворенность качеством предоставляемых услуг. 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color w:val="FF0000"/>
          <w:sz w:val="28"/>
          <w:szCs w:val="28"/>
          <w:highlight w:val="white"/>
          <w:u w:color="FF0000"/>
        </w:rPr>
        <w:t xml:space="preserve"> </w:t>
      </w:r>
    </w:p>
    <w:p w:rsidR="000B1824" w:rsidRDefault="000B1824" w:rsidP="00F4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</w:pPr>
    </w:p>
    <w:p w:rsidR="00FB3E6F" w:rsidRDefault="00F455D0" w:rsidP="00F4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  <w:lastRenderedPageBreak/>
        <w:t xml:space="preserve">21.1. </w:t>
      </w:r>
      <w:r w:rsidR="00FB3E6F"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  <w:t>Социальная защита ветеранов, тружеников тыла и жертв политических репрессий, пенсионеров, родите</w:t>
      </w: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  <w:t>лей погибших военнослужащих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На территории города Боготола по состоянию на 1 января 2018 года проживает 5613 человек из числа региональных льготников.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Численность лиц, имеющих право на меры социальной поддержки, за счет средств федерального и краевого бюджетов составила:</w:t>
      </w:r>
    </w:p>
    <w:p w:rsidR="00FB3E6F" w:rsidRPr="00F455D0" w:rsidRDefault="00FB3E6F" w:rsidP="00FB3E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 w:rsidRPr="00F455D0">
        <w:rPr>
          <w:rFonts w:ascii="Times New Roman CYR" w:hAnsi="Times New Roman CYR" w:cs="Times New Roman CYR"/>
          <w:bCs/>
          <w:sz w:val="28"/>
          <w:szCs w:val="28"/>
          <w:highlight w:val="white"/>
          <w:u w:color="FF0000"/>
        </w:rPr>
        <w:t xml:space="preserve">тружеников </w:t>
      </w:r>
      <w:r w:rsidR="004B5234">
        <w:rPr>
          <w:rFonts w:ascii="Times New Roman CYR" w:hAnsi="Times New Roman CYR" w:cs="Times New Roman CYR"/>
          <w:bCs/>
          <w:sz w:val="28"/>
          <w:szCs w:val="28"/>
          <w:highlight w:val="white"/>
          <w:u w:color="FF0000"/>
        </w:rPr>
        <w:t>тыла –</w:t>
      </w:r>
      <w:r w:rsidRPr="00F455D0">
        <w:rPr>
          <w:rFonts w:ascii="Times New Roman CYR" w:hAnsi="Times New Roman CYR" w:cs="Times New Roman CYR"/>
          <w:bCs/>
          <w:sz w:val="28"/>
          <w:szCs w:val="28"/>
          <w:highlight w:val="white"/>
          <w:u w:color="FF0000"/>
        </w:rPr>
        <w:t xml:space="preserve"> </w:t>
      </w:r>
      <w:r w:rsidRP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9 чел. (в 2016 – 9 чел.);</w:t>
      </w:r>
    </w:p>
    <w:p w:rsidR="00FB3E6F" w:rsidRPr="00F455D0" w:rsidRDefault="004B5234" w:rsidP="00FB3E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bCs/>
          <w:sz w:val="28"/>
          <w:szCs w:val="28"/>
          <w:highlight w:val="white"/>
          <w:u w:color="FF0000"/>
        </w:rPr>
        <w:t xml:space="preserve">ветеранов труда – </w:t>
      </w:r>
      <w:r w:rsidR="00FB3E6F" w:rsidRP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1302 чел. (в 2016 -  1338 чел.);</w:t>
      </w:r>
    </w:p>
    <w:p w:rsidR="00FB3E6F" w:rsidRPr="00F455D0" w:rsidRDefault="00FB3E6F" w:rsidP="00FB3E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 w:rsidRPr="00F455D0">
        <w:rPr>
          <w:rFonts w:ascii="Times New Roman CYR" w:hAnsi="Times New Roman CYR" w:cs="Times New Roman CYR"/>
          <w:bCs/>
          <w:sz w:val="28"/>
          <w:szCs w:val="28"/>
          <w:highlight w:val="white"/>
          <w:u w:color="FF0000"/>
        </w:rPr>
        <w:t xml:space="preserve">ветеранов труда края – </w:t>
      </w:r>
      <w:r w:rsidRP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1459 чел. (в 2016 - 1412 чел.)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;</w:t>
      </w:r>
    </w:p>
    <w:p w:rsidR="00FB3E6F" w:rsidRPr="00F455D0" w:rsidRDefault="00FB3E6F" w:rsidP="00FB3E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 w:rsidRPr="00F455D0">
        <w:rPr>
          <w:rFonts w:ascii="Times New Roman CYR" w:hAnsi="Times New Roman CYR" w:cs="Times New Roman CYR"/>
          <w:bCs/>
          <w:sz w:val="28"/>
          <w:szCs w:val="28"/>
          <w:highlight w:val="white"/>
          <w:u w:color="FF0000"/>
        </w:rPr>
        <w:t>пенсионеры, не имеющие льготного статуса</w:t>
      </w:r>
      <w:r w:rsidR="004B5234">
        <w:rPr>
          <w:rFonts w:ascii="Times New Roman CYR" w:hAnsi="Times New Roman CYR" w:cs="Times New Roman CYR"/>
          <w:bCs/>
          <w:sz w:val="28"/>
          <w:szCs w:val="28"/>
          <w:highlight w:val="white"/>
          <w:u w:color="FF0000"/>
        </w:rPr>
        <w:t xml:space="preserve"> – </w:t>
      </w:r>
      <w:r w:rsidRP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2030 чел. (в 2016 - 1992 чел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  <w:r w:rsidRP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)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;</w:t>
      </w:r>
    </w:p>
    <w:p w:rsidR="00FB3E6F" w:rsidRPr="00F455D0" w:rsidRDefault="00FB3E6F" w:rsidP="00FB3E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 w:rsidRPr="00F455D0">
        <w:rPr>
          <w:rFonts w:ascii="Times New Roman CYR" w:hAnsi="Times New Roman CYR" w:cs="Times New Roman CYR"/>
          <w:bCs/>
          <w:sz w:val="28"/>
          <w:szCs w:val="28"/>
          <w:highlight w:val="white"/>
          <w:u w:color="FF0000"/>
        </w:rPr>
        <w:t xml:space="preserve">родители погибших военнослужащих – </w:t>
      </w:r>
      <w:r w:rsidRP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2 чел. (в 2016 – 2 чел.)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;</w:t>
      </w:r>
    </w:p>
    <w:p w:rsidR="00FB3E6F" w:rsidRPr="00F455D0" w:rsidRDefault="00FB3E6F" w:rsidP="00FB3E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 w:rsidRPr="00F455D0">
        <w:rPr>
          <w:rFonts w:ascii="Times New Roman CYR" w:hAnsi="Times New Roman CYR" w:cs="Times New Roman CYR"/>
          <w:bCs/>
          <w:sz w:val="28"/>
          <w:szCs w:val="28"/>
          <w:highlight w:val="white"/>
          <w:u w:color="FF0000"/>
        </w:rPr>
        <w:t xml:space="preserve">«Дети </w:t>
      </w:r>
      <w:r w:rsidR="004B5234">
        <w:rPr>
          <w:rFonts w:ascii="Times New Roman CYR" w:hAnsi="Times New Roman CYR" w:cs="Times New Roman CYR"/>
          <w:bCs/>
          <w:sz w:val="28"/>
          <w:szCs w:val="28"/>
          <w:highlight w:val="white"/>
          <w:u w:color="FF0000"/>
        </w:rPr>
        <w:t xml:space="preserve">погибших защитников Отечества» – </w:t>
      </w:r>
      <w:r w:rsidRP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285 чел. (в 2016 году – 296 чел.)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;</w:t>
      </w:r>
    </w:p>
    <w:p w:rsidR="00FB3E6F" w:rsidRPr="004B5234" w:rsidRDefault="00FB3E6F" w:rsidP="00FB3E6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360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 w:rsidRPr="00F455D0">
        <w:rPr>
          <w:rFonts w:ascii="Times New Roman CYR" w:hAnsi="Times New Roman CYR" w:cs="Times New Roman CYR"/>
          <w:bCs/>
          <w:sz w:val="28"/>
          <w:szCs w:val="28"/>
          <w:highlight w:val="white"/>
          <w:u w:color="FF0000"/>
        </w:rPr>
        <w:t>лица, награжденные знаком «Почетный донор СССР</w:t>
      </w:r>
      <w:r w:rsidR="004B5234">
        <w:rPr>
          <w:rFonts w:ascii="Times New Roman CYR" w:hAnsi="Times New Roman CYR" w:cs="Times New Roman CYR"/>
          <w:bCs/>
          <w:sz w:val="28"/>
          <w:szCs w:val="28"/>
          <w:highlight w:val="white"/>
          <w:u w:color="FF0000"/>
        </w:rPr>
        <w:t xml:space="preserve">» или «Почетный донор России» – </w:t>
      </w:r>
      <w:r w:rsidRPr="00F455D0">
        <w:rPr>
          <w:rFonts w:ascii="Times New Roman CYR" w:hAnsi="Times New Roman CYR" w:cs="Times New Roman CYR"/>
          <w:bCs/>
          <w:sz w:val="28"/>
          <w:szCs w:val="28"/>
          <w:highlight w:val="white"/>
          <w:u w:color="FF0000"/>
        </w:rPr>
        <w:t>59</w:t>
      </w:r>
      <w:r w:rsidRP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чел. (в 2016 году – 61 чел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  <w:r w:rsidRP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).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На доплату к пенсиям муниципальных служащих в 2017 году израсходованы сред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ства местного бюджета в объеме 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640</w:t>
      </w:r>
      <w:r w:rsidR="004B5234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114,50 руб. – 21 чел. (2016 год – 554854,67 руб. – 17 чел.)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</w:p>
    <w:p w:rsidR="00FB3E6F" w:rsidRDefault="00FB3E6F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Доля граждан, получающих регулярные денежные выплаты, от числа граждан, имеющих на них право за 2017 год, имеет показатель 100%, что выше краевого показателя. </w:t>
      </w:r>
    </w:p>
    <w:p w:rsidR="00FB3E6F" w:rsidRDefault="00FB3E6F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В течение года проводили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сь мероприятия, направленные на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укрепление и сохранение здоровья неработающих граждан преклонного возраста, продления их активного долголетия на базе краевых геронтологических центров «Уют», «Тонус», «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Тесь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» и «Красноярское Загорье». Всего в течение 201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7 года прошли курс оздоровления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26 человек (в 2016 году - 25 человек).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FF0000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color w:val="FF0000"/>
          <w:sz w:val="28"/>
          <w:szCs w:val="28"/>
          <w:highlight w:val="white"/>
          <w:u w:color="FF0000"/>
        </w:rPr>
        <w:t xml:space="preserve">               </w:t>
      </w:r>
    </w:p>
    <w:p w:rsidR="00FB3E6F" w:rsidRDefault="00F455D0" w:rsidP="00F4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  <w:t xml:space="preserve">21.2. </w:t>
      </w:r>
      <w:r w:rsidR="004427FF"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  <w:t>Социальная защита инвалидов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iCs/>
          <w:sz w:val="28"/>
          <w:szCs w:val="28"/>
          <w:highlight w:val="white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        Численность граждан, имеющих право на меры социальной поддержки по мероприятиям подпрограммы:</w:t>
      </w:r>
    </w:p>
    <w:p w:rsidR="00FB3E6F" w:rsidRDefault="00F455D0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- компенсация расходов на</w:t>
      </w:r>
      <w:r w:rsidR="004B5234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проезд инвалидов – 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141 чел. (2016 год - 140 чел.)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;</w:t>
      </w:r>
    </w:p>
    <w:p w:rsidR="00FB3E6F" w:rsidRDefault="00FB3E6F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- ЕДВ родителям детей-и</w:t>
      </w:r>
      <w:r w:rsidR="004B5234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нвалидов, обучающихся на дому – 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50 чел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(2016 год- 35 чел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)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;</w:t>
      </w:r>
    </w:p>
    <w:p w:rsidR="00FB3E6F" w:rsidRDefault="00F455D0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- к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омп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енсация по договорам ОСАГО – 1 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чел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(2016 год – 2 чел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)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FF0000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color w:val="FF0000"/>
          <w:sz w:val="28"/>
          <w:szCs w:val="28"/>
          <w:highlight w:val="white"/>
          <w:u w:color="FF0000"/>
        </w:rPr>
        <w:t xml:space="preserve">  </w:t>
      </w:r>
    </w:p>
    <w:p w:rsidR="000B1824" w:rsidRDefault="000B1824" w:rsidP="00F4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</w:pPr>
    </w:p>
    <w:p w:rsidR="000B1824" w:rsidRDefault="000B1824" w:rsidP="00F4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</w:pPr>
    </w:p>
    <w:p w:rsidR="000B1824" w:rsidRDefault="000B1824" w:rsidP="00F4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</w:pPr>
    </w:p>
    <w:p w:rsidR="00FB3E6F" w:rsidRDefault="00F455D0" w:rsidP="00F455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  <w:lastRenderedPageBreak/>
        <w:t xml:space="preserve">21.3. </w:t>
      </w:r>
      <w:r w:rsidR="00FB3E6F"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  <w:t>Социальная поддержка граждан, находящихся в трудной жизненной ситуации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Главным условием предоставления социальной помощи считается наличие трудной жизненной ситуации, объективно нарушающей жизнедеятельность гражданина, которую он не может преодолеть самостоятельно. Решение об оказании такой помощи принимает межведомственная комиссия, созданная в УСЗН. Каждая ситуация рассматривается индивидуально.</w:t>
      </w:r>
    </w:p>
    <w:p w:rsidR="00FB3E6F" w:rsidRDefault="00FB3E6F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В 2017 году была оказана единовременная адресная материальная помощь обратившимся гражданам, находящимся в трудной жизненной ситуации, в размере не более 10,0 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тыс.руб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. на человека один раз </w:t>
      </w:r>
      <w:r w:rsidR="004B5234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в год – 218 чел. (в 2016 году – 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127 гражданам, находящимся в трудной жизненной ситуации) - на лекарственное обеспечение, продукты питания, приобретение одежды, обуви, на проезд по направлению врача в Краевую клиническую больницу и прочее.</w:t>
      </w:r>
    </w:p>
    <w:p w:rsidR="00FB3E6F" w:rsidRDefault="00FB3E6F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В 2017 году была оказана единовременная адресная материальная помощь на ремонт жилого помещения обратившимся: 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одинокопроживающим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неработающим гражданам, достигшим пенсионного возраста, и инвалидам 1 и 2 групп, а также одиноко проживающим супружеским парам из числа, указанных граждан; семьям, состоящим из указанных граждан, не имеющих в своем составе трудоспособных членов семьи – 24 чел. (в 2016 году – 25 чел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).</w:t>
      </w:r>
    </w:p>
    <w:p w:rsidR="00FB3E6F" w:rsidRDefault="00FB3E6F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В 2017 году была оказана единовременная адресная материальная помощь отдельным категориям граждан на ремонт печно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го отопления и электропроводки 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– 19 чел. (в 2016 году – 19 чел.)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</w:p>
    <w:p w:rsidR="00FB3E6F" w:rsidRDefault="00FB3E6F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В 2017 году была предоставлена адресная материальная помощь на компенсацию расходов на оплату услуг вдовам (вдовцам), нетрудоспособным детям (если они достигли возраста 55 лет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(женщины) и 60 лет (мужчины) либо являются инвалидами) по изготовлению и установке (замене) памятников (надгробий), благоустройству 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могил участников (инвалидов) ВОВ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, умерших на территории Красноярского края до 12.06.1990 года 1 чел. (в 2016 году 8 чел.)</w:t>
      </w:r>
      <w:r w:rsidR="00F455D0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</w:p>
    <w:p w:rsidR="00FB3E6F" w:rsidRDefault="00FB3E6F" w:rsidP="00F455D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В 2017 году была предоставлена адресная материальная помощь на компенсацию расходов на проезд</w:t>
      </w:r>
      <w:r w:rsidR="004B5234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, совершенный один раз в течение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календарного года, по территории РФ к месту следования и обратно реабилитированным лицам в количеств</w:t>
      </w:r>
      <w:r w:rsidR="00DD119C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е 14 чел. (в 2016 году 13 чел.).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</w:t>
      </w:r>
    </w:p>
    <w:p w:rsidR="00FB3E6F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В 2017 году была предоставлена адресная материальная помощь на компенсацию расходов на изготовление и ремонт зубных протезов ветеранам труда края, достигшим возраста 65 лет в количестве 37 чел. (в 2016 году 24 чел.)</w:t>
      </w:r>
      <w:r w:rsidR="00DD119C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color w:val="FF0000"/>
          <w:sz w:val="28"/>
          <w:szCs w:val="28"/>
          <w:highlight w:val="white"/>
          <w:u w:color="FF0000"/>
        </w:rPr>
      </w:pPr>
    </w:p>
    <w:p w:rsidR="00FB3E6F" w:rsidRDefault="00DD119C" w:rsidP="00DD1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  <w:u w:color="FF0000"/>
        </w:rPr>
        <w:t xml:space="preserve">21.4. </w:t>
      </w:r>
      <w:r w:rsidR="00FB3E6F"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  <w:u w:color="FF0000"/>
        </w:rPr>
        <w:t>Социальн</w:t>
      </w:r>
      <w:r w:rsidR="005175A3">
        <w:rPr>
          <w:rFonts w:ascii="Times New Roman CYR" w:hAnsi="Times New Roman CYR" w:cs="Times New Roman CYR"/>
          <w:b/>
          <w:bCs/>
          <w:color w:val="000000"/>
          <w:sz w:val="28"/>
          <w:szCs w:val="28"/>
          <w:highlight w:val="white"/>
          <w:u w:color="FF0000"/>
        </w:rPr>
        <w:t>ая защита семьи, женщин и детей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Численность граждан, имеющих право на меры социальной поддержки:</w:t>
      </w:r>
    </w:p>
    <w:p w:rsidR="00FB3E6F" w:rsidRDefault="00DD119C" w:rsidP="00FB3E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- е</w:t>
      </w:r>
      <w:r w:rsidR="00FB3E6F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жемесячное пособие на ребенка – 1211 чел. (2016 год – 1130 чел.); </w:t>
      </w:r>
    </w:p>
    <w:p w:rsidR="00FB3E6F" w:rsidRDefault="00DD119C" w:rsidP="00FB3E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lastRenderedPageBreak/>
        <w:t>- е</w:t>
      </w:r>
      <w:r w:rsidR="00FB3E6F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жегодное пособие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на ребенка школьного возраста –</w:t>
      </w:r>
      <w:r w:rsidR="00FB3E6F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 478 чел. (2016 год –419 чел.);</w:t>
      </w:r>
    </w:p>
    <w:p w:rsidR="00FB3E6F" w:rsidRDefault="00FB3E6F" w:rsidP="00FB3E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- ЕДВ родителям инвалидам – 9 чел. (2016 год – 10 чел.);</w:t>
      </w:r>
    </w:p>
    <w:p w:rsidR="00FB3E6F" w:rsidRDefault="00DD119C" w:rsidP="00FB3E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- е</w:t>
      </w:r>
      <w:r w:rsidR="00FB3E6F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жемесячная компенсация расходов по приобретению единого социального проездного билета на детей школьного возраста – 16 чел. (2016 год – 11 чел.);</w:t>
      </w:r>
    </w:p>
    <w:p w:rsidR="00FB3E6F" w:rsidRPr="00DD119C" w:rsidRDefault="00FB3E6F" w:rsidP="00DD119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- ЕДВ на детей от 1,5 до 3 лет, которым временно не предоставлено место в дошкол</w:t>
      </w:r>
      <w:r w:rsidR="00DD119C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ьном образовательном учреждении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 - 1</w:t>
      </w:r>
      <w:r w:rsidR="00DD119C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63 чел. (2016 год – 210 чел.). </w:t>
      </w:r>
    </w:p>
    <w:p w:rsidR="00FB3E6F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FF0000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Министерством социальной политики  Красноярского края  в 2</w:t>
      </w:r>
      <w:r w:rsidR="007034EA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017 году  выделено 21 бесплатная путевка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 на летнее оздоровление  в КГАУ «СОЦ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Тесь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», доставка к месту отдыха и обратно составила  47</w:t>
      </w:r>
      <w:r w:rsidR="007034EA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179,70 рублей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, 2 единичные путевки на санаторно-курортное лечение детей в возрасте от 7 до 18 лет в КГАУ «СОЦ «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Тесь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»; 7 путевок для детей-инвалидов с сопровождающим лицом на санаторно-курортное лечение, ре</w:t>
      </w:r>
      <w:r w:rsidR="00567C51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абилитацию в КГАУ «СОЦ «</w:t>
      </w:r>
      <w:proofErr w:type="spellStart"/>
      <w:r w:rsidR="00567C51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Тесь</w:t>
      </w:r>
      <w:proofErr w:type="spellEnd"/>
      <w:r w:rsidR="00567C51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»;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6 путевок для детей-инвалидов с сопровождающим лицом на реабилитацию в КГАУ СО «Реабилитационный центр для детей и подростков с ограниченными возможностями» 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г.Ачинск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(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2</w:t>
      </w:r>
      <w:r w:rsidR="00567C51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016 году  выделено 21 бесплатная путевка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 на летнее оздоровление  в КГАУ «СОЦ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Тесь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», доставка к м</w:t>
      </w:r>
      <w:r w:rsidR="00567C51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есту отдыха и обратно составила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 44</w:t>
      </w:r>
      <w:r w:rsidR="00567C51"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u w:color="FF0000"/>
        </w:rPr>
        <w:t>660,20 рублей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, 7 единичных путевок на санаторно-курортное лечение детей в возрасте от 7 до 17 лет в КГАУ «СОЦ «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Тесь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»; 8 путевок для детей-инвалидов с сопровождающим лицом на санаторно-курортное лечение, реабилитацию в КГАУ «СОЦ «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Тесь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»; КГАУ «СОЦ «Жарки», 1 путевка для детей от 3 до 7 лет с сопровождающим на санаторно-курортное лечение КГАУ «СОЦ «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Тесь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»; 5 путевок для детей-инвалидов с сопровождающим лицом на реабилитацию в КГАУ СО «Реабилитационный центр для детей и подростков с ограниченными возможностями» 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г.Ачинск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).</w:t>
      </w:r>
    </w:p>
    <w:p w:rsidR="00DD119C" w:rsidRDefault="00DD119C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FF0000"/>
          <w:sz w:val="28"/>
          <w:szCs w:val="28"/>
          <w:highlight w:val="white"/>
          <w:u w:color="FF0000"/>
        </w:rPr>
      </w:pPr>
    </w:p>
    <w:p w:rsidR="00FB3E6F" w:rsidRDefault="00DD119C" w:rsidP="00DD11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</w:pPr>
      <w:r w:rsidRPr="00DD119C">
        <w:rPr>
          <w:rFonts w:ascii="Times New Roman CYR" w:hAnsi="Times New Roman CYR" w:cs="Times New Roman CYR"/>
          <w:b/>
          <w:sz w:val="24"/>
          <w:szCs w:val="24"/>
          <w:highlight w:val="white"/>
          <w:u w:color="FF0000"/>
        </w:rPr>
        <w:t>21.5.</w:t>
      </w:r>
      <w:r>
        <w:rPr>
          <w:rFonts w:ascii="Times New Roman CYR" w:hAnsi="Times New Roman CYR" w:cs="Times New Roman CYR"/>
          <w:sz w:val="24"/>
          <w:szCs w:val="24"/>
          <w:highlight w:val="white"/>
          <w:u w:color="FF0000"/>
        </w:rPr>
        <w:t xml:space="preserve"> </w:t>
      </w:r>
      <w:r w:rsidR="00FB3E6F"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  <w:t>Социальная поддерж</w:t>
      </w:r>
      <w:r w:rsidR="00DA3C99">
        <w:rPr>
          <w:rFonts w:ascii="Times New Roman CYR" w:hAnsi="Times New Roman CYR" w:cs="Times New Roman CYR"/>
          <w:b/>
          <w:bCs/>
          <w:sz w:val="28"/>
          <w:szCs w:val="28"/>
          <w:highlight w:val="white"/>
          <w:u w:color="FF0000"/>
        </w:rPr>
        <w:t>ка граждан на оплату жилищно-коммунальных услуг</w:t>
      </w:r>
    </w:p>
    <w:p w:rsidR="00FB3E6F" w:rsidRPr="00DD119C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color w:val="FF0000"/>
          <w:sz w:val="28"/>
          <w:szCs w:val="28"/>
          <w:highlight w:val="white"/>
          <w:u w:color="FF0000"/>
        </w:rPr>
      </w:pPr>
    </w:p>
    <w:p w:rsidR="00FB3E6F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Численность лиц, получающих меры социа</w:t>
      </w:r>
      <w:r w:rsidR="00DA3C99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льной поддержки по оплате за жилищно-коммунальные услуги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:</w:t>
      </w:r>
    </w:p>
    <w:p w:rsidR="00FB3E6F" w:rsidRDefault="00DD119C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- в</w:t>
      </w:r>
      <w:r w:rsidR="00567C51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етераны труда в 2017 году – </w:t>
      </w:r>
      <w:r w:rsidR="00BB7846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1446 чел. (в 2016 – 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1485 чел.),</w:t>
      </w:r>
    </w:p>
    <w:p w:rsidR="00FB3E6F" w:rsidRDefault="00DD119C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- р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еаби</w:t>
      </w:r>
      <w:r w:rsidR="00567C51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литированные лица в 2017 году – </w:t>
      </w:r>
      <w:r w:rsidR="00BB7846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113 чел. (в 2016 –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121 чел.),</w:t>
      </w:r>
    </w:p>
    <w:p w:rsidR="00FB3E6F" w:rsidRDefault="00DD119C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- т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руженики тыла в 2017 году – 17 чел. (в 2016 – 22 чел.),</w:t>
      </w:r>
    </w:p>
    <w:p w:rsidR="00FB3E6F" w:rsidRDefault="00DD119C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- о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стальные статьи в 2017 году – 2569 чел. (в 2016 – 2379 чел.). </w:t>
      </w:r>
    </w:p>
    <w:p w:rsidR="00FB3E6F" w:rsidRDefault="00DD119C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Из общей численности инвалидов,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проживающих на территории города Боготола, мерами социальной поддержки по оплате жилья и коммунальных услуг в соответствии с Федеральным закон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ом от 24.11.1995 № 181-ФЗ «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О социальной защите инвалидо</w:t>
      </w:r>
      <w:r w:rsidR="00567C51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в в Российской Федерации» в 2017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году воспользовалось 1406 чел. (включ</w:t>
      </w:r>
      <w:r w:rsidR="00BB7846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ая членов семьи), (в 2016 году – 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1416 чел</w:t>
      </w:r>
      <w:r w:rsidR="00872C04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  <w:r w:rsidR="00FB3E6F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).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lastRenderedPageBreak/>
        <w:t xml:space="preserve">Численность ветеранов, воспользовавшихся мерами социальной поддержки, в соответствии с Федеральным законом от 12.01.1995 № </w:t>
      </w:r>
      <w:r w:rsidR="00DD119C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5-ФЗ «О Ветеранах» в 2017 году </w:t>
      </w:r>
      <w:r w:rsidR="00BB7846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составила 183 чел. (в 2016 году – 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212 чел.)</w:t>
      </w:r>
      <w:r w:rsidR="00BB7846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Численность граждан, подвергшимся радиационному воздействию, воспользовавшихся мерами социальной поддержки, в 2017 году составила 21 чел. (</w:t>
      </w:r>
      <w:r w:rsidR="00194B6E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включая членов семьи) (в 2016 году – 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19 чел.)</w:t>
      </w:r>
      <w:r w:rsidR="00DD119C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.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</w:t>
      </w:r>
    </w:p>
    <w:p w:rsidR="00FB3E6F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Удельный вес граждан, получающих меры социальной поддержки адресно (с учетом доходности) в общей численности граждан, имеющих на них право за 2017 год достиг значения – 98% (план – 100%).</w:t>
      </w:r>
      <w:r>
        <w:rPr>
          <w:rFonts w:ascii="Times New Roman CYR" w:hAnsi="Times New Roman CYR" w:cs="Times New Roman CYR"/>
          <w:color w:val="FF0000"/>
          <w:sz w:val="28"/>
          <w:szCs w:val="28"/>
          <w:highlight w:val="white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Отклонение возникло по причине наличия граждан, имеющих задолженность по оплате за жилищно-коммунальные услуги.  </w:t>
      </w:r>
    </w:p>
    <w:p w:rsidR="00FB3E6F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При предоставлении государственных и муниципальных услуг активно используется система электронного межведомственного информационного взаимодействия. За 201</w:t>
      </w:r>
      <w:r w:rsidR="00DD119C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7 год направлено 9672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электронных запросов (в 2016 г.- 8269 шт.) </w:t>
      </w:r>
    </w:p>
    <w:p w:rsidR="00FB3E6F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В целях повышения качества и доступности государственных и муниципальных услуг, снижения админи</w:t>
      </w:r>
      <w:r w:rsidR="00872C04"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стративных барьеров в 2015 году</w:t>
      </w: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 была организована работа по предоставлению социальных услуг по принципу «Одного окна». Прием граждан организован без перерыва на обед. </w:t>
      </w:r>
    </w:p>
    <w:p w:rsidR="00FB3E6F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>В 2015 году в УСЗН администрации города Боготола создан собственный сайт uszn-bogotol.gbu.su, поддерживается в актуальном состоянии Интернет-страница на сайте города.</w:t>
      </w:r>
    </w:p>
    <w:p w:rsidR="00E92571" w:rsidRDefault="00E92571" w:rsidP="00DD11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highlight w:val="white"/>
          <w:u w:color="FF0000"/>
        </w:rPr>
      </w:pPr>
    </w:p>
    <w:p w:rsidR="00DD119C" w:rsidRPr="00DD119C" w:rsidRDefault="00DD119C" w:rsidP="00DD11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highlight w:val="white"/>
          <w:u w:color="FF0000"/>
        </w:rPr>
      </w:pPr>
      <w:r w:rsidRPr="00DD119C">
        <w:rPr>
          <w:rFonts w:ascii="Times New Roman CYR" w:hAnsi="Times New Roman CYR" w:cs="Times New Roman CYR"/>
          <w:b/>
          <w:sz w:val="28"/>
          <w:szCs w:val="28"/>
          <w:highlight w:val="white"/>
          <w:u w:color="FF0000"/>
        </w:rPr>
        <w:t>21.6. Социальное обслуживание граждан</w:t>
      </w:r>
    </w:p>
    <w:p w:rsidR="00DD119C" w:rsidRDefault="00DD119C" w:rsidP="00E925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</w:p>
    <w:p w:rsidR="00FB3E6F" w:rsidRPr="00DD119C" w:rsidRDefault="00FB3E6F" w:rsidP="00E9257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u w:color="FF0000"/>
        </w:rPr>
      </w:pPr>
      <w:r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 xml:space="preserve">Одним из приоритетных на сегодняшний день направлений является социальное обслуживание граждан. </w:t>
      </w:r>
    </w:p>
    <w:p w:rsidR="00FB3E6F" w:rsidRPr="00DD119C" w:rsidRDefault="00FB3E6F" w:rsidP="00DD119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u w:color="FF0000"/>
        </w:rPr>
      </w:pPr>
      <w:r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>Муниципальное бюджетное Учреждение Комплексный Центр социального о</w:t>
      </w:r>
      <w:r w:rsid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 xml:space="preserve">бслуживания населения «Забота» </w:t>
      </w:r>
      <w:r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>является некоммерческой организацией, соз</w:t>
      </w:r>
      <w:r w:rsid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 xml:space="preserve">дано в </w:t>
      </w:r>
      <w:r w:rsidR="00872C04">
        <w:rPr>
          <w:rFonts w:ascii="Times New Roman" w:hAnsi="Times New Roman" w:cs="Times New Roman"/>
          <w:sz w:val="28"/>
          <w:szCs w:val="28"/>
          <w:highlight w:val="white"/>
          <w:u w:color="FF0000"/>
        </w:rPr>
        <w:t>целях</w:t>
      </w:r>
      <w:r w:rsidR="00E92571">
        <w:rPr>
          <w:rFonts w:ascii="Times New Roman" w:hAnsi="Times New Roman" w:cs="Times New Roman"/>
          <w:sz w:val="28"/>
          <w:szCs w:val="28"/>
          <w:highlight w:val="white"/>
          <w:u w:color="FF0000"/>
        </w:rPr>
        <w:t xml:space="preserve"> оказания помощи в реализации</w:t>
      </w:r>
      <w:r w:rsidR="007F1D6C">
        <w:rPr>
          <w:rFonts w:ascii="Times New Roman" w:hAnsi="Times New Roman" w:cs="Times New Roman"/>
          <w:sz w:val="28"/>
          <w:szCs w:val="28"/>
          <w:highlight w:val="white"/>
          <w:u w:color="FF0000"/>
        </w:rPr>
        <w:t xml:space="preserve"> законных</w:t>
      </w:r>
      <w:r w:rsidR="00DA3C99">
        <w:rPr>
          <w:rFonts w:ascii="Times New Roman" w:hAnsi="Times New Roman" w:cs="Times New Roman"/>
          <w:sz w:val="28"/>
          <w:szCs w:val="28"/>
          <w:highlight w:val="white"/>
          <w:u w:color="FF0000"/>
        </w:rPr>
        <w:t xml:space="preserve"> прав и</w:t>
      </w:r>
      <w:r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 xml:space="preserve"> </w:t>
      </w:r>
      <w:proofErr w:type="gramStart"/>
      <w:r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>интересов,  содействия</w:t>
      </w:r>
      <w:proofErr w:type="gramEnd"/>
      <w:r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 xml:space="preserve">  в  улучшении  социального  и материального  положения,  а  также психологического  статуса  следующих категорий граждан: граждан  пожилого  возраста  и  инвалидов,  семей с   детьми и других граждан оказавшихся в трудной жизненной ситуации.</w:t>
      </w:r>
    </w:p>
    <w:p w:rsidR="00FB3E6F" w:rsidRPr="00DD119C" w:rsidRDefault="00FB3E6F" w:rsidP="00DD119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u w:color="FF0000"/>
        </w:rPr>
      </w:pPr>
      <w:r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 xml:space="preserve">Учреждение является поставщиком социальных услуг и включено в реестр поставщиков социальных услуг Красноярского края, осуществляет деятельность по предоставлению социальных услуг </w:t>
      </w:r>
      <w:r w:rsid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>гражданам на территории</w:t>
      </w:r>
      <w:r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 xml:space="preserve"> г. Боготола. </w:t>
      </w:r>
    </w:p>
    <w:p w:rsidR="00FB3E6F" w:rsidRPr="00DD119C" w:rsidRDefault="00FB3E6F" w:rsidP="00E92571">
      <w:pPr>
        <w:pStyle w:val="a3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highlight w:val="white"/>
          <w:u w:color="FF0000"/>
        </w:rPr>
      </w:pPr>
      <w:r w:rsidRPr="00DD119C">
        <w:rPr>
          <w:rFonts w:ascii="Times New Roman" w:hAnsi="Times New Roman" w:cs="Times New Roman"/>
          <w:kern w:val="1"/>
          <w:sz w:val="28"/>
          <w:szCs w:val="28"/>
          <w:highlight w:val="white"/>
          <w:u w:color="FF0000"/>
        </w:rPr>
        <w:t xml:space="preserve">Услуги предоставляются в форме социального обслуживания на дому и полустационарной форме, включая срочные социальные услуги. </w:t>
      </w:r>
    </w:p>
    <w:p w:rsidR="00FB3E6F" w:rsidRDefault="00FB3E6F" w:rsidP="00FB3E6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 CYR" w:hAnsi="Times New Roman CYR" w:cs="Times New Roman CYR"/>
          <w:kern w:val="1"/>
          <w:sz w:val="28"/>
          <w:szCs w:val="28"/>
          <w:highlight w:val="white"/>
          <w:u w:color="FF0000"/>
        </w:rPr>
      </w:pPr>
    </w:p>
    <w:p w:rsidR="000B1824" w:rsidRDefault="000B1824" w:rsidP="00FB3E6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 CYR" w:hAnsi="Times New Roman CYR" w:cs="Times New Roman CYR"/>
          <w:bCs/>
          <w:i/>
          <w:kern w:val="1"/>
          <w:sz w:val="28"/>
          <w:szCs w:val="28"/>
          <w:highlight w:val="white"/>
          <w:u w:color="FF0000"/>
        </w:rPr>
      </w:pPr>
    </w:p>
    <w:p w:rsidR="00FB3E6F" w:rsidRPr="00DD119C" w:rsidRDefault="00FB3E6F" w:rsidP="00FB3E6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Times New Roman CYR" w:hAnsi="Times New Roman CYR" w:cs="Times New Roman CYR"/>
          <w:i/>
          <w:kern w:val="1"/>
          <w:sz w:val="28"/>
          <w:szCs w:val="28"/>
          <w:highlight w:val="white"/>
          <w:u w:color="FF0000"/>
        </w:rPr>
      </w:pPr>
      <w:r w:rsidRPr="00DD119C">
        <w:rPr>
          <w:rFonts w:ascii="Times New Roman CYR" w:hAnsi="Times New Roman CYR" w:cs="Times New Roman CYR"/>
          <w:bCs/>
          <w:i/>
          <w:kern w:val="1"/>
          <w:sz w:val="28"/>
          <w:szCs w:val="28"/>
          <w:highlight w:val="white"/>
          <w:u w:color="FF0000"/>
        </w:rPr>
        <w:lastRenderedPageBreak/>
        <w:t>Количество получателей социальных услуг</w:t>
      </w:r>
    </w:p>
    <w:tbl>
      <w:tblPr>
        <w:tblW w:w="10144" w:type="dxa"/>
        <w:tblInd w:w="-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3"/>
        <w:gridCol w:w="1215"/>
        <w:gridCol w:w="1258"/>
        <w:gridCol w:w="1276"/>
        <w:gridCol w:w="1276"/>
        <w:gridCol w:w="1276"/>
        <w:gridCol w:w="1134"/>
        <w:gridCol w:w="1576"/>
      </w:tblGrid>
      <w:tr w:rsidR="00FB3E6F" w:rsidTr="00DD119C">
        <w:trPr>
          <w:trHeight w:val="64"/>
        </w:trPr>
        <w:tc>
          <w:tcPr>
            <w:tcW w:w="234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Общее количество получателей социальных услуг, чел</w:t>
            </w:r>
            <w:r w:rsid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.</w:t>
            </w:r>
          </w:p>
        </w:tc>
        <w:tc>
          <w:tcPr>
            <w:tcW w:w="50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В том числе:</w:t>
            </w:r>
          </w:p>
        </w:tc>
        <w:tc>
          <w:tcPr>
            <w:tcW w:w="2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Выполнение муниципального задания по показателю «количество получателей социальных услуг»,</w:t>
            </w:r>
            <w:r w:rsid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 xml:space="preserve"> </w:t>
            </w: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%</w:t>
            </w:r>
          </w:p>
        </w:tc>
      </w:tr>
      <w:tr w:rsidR="00FB3E6F" w:rsidTr="00DD119C">
        <w:tc>
          <w:tcPr>
            <w:tcW w:w="234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Получателей услуг по договору в рамках ИППСУ, чел</w:t>
            </w:r>
            <w:r w:rsid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Получателей срочных социальных услуг, чел</w:t>
            </w:r>
            <w:r w:rsid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.</w:t>
            </w:r>
          </w:p>
        </w:tc>
        <w:tc>
          <w:tcPr>
            <w:tcW w:w="27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</w:p>
        </w:tc>
      </w:tr>
      <w:tr w:rsidR="00FB3E6F" w:rsidTr="00DD119C"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2016 год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2017 год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2016 год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6F" w:rsidRPr="00DD119C" w:rsidRDefault="00FB3E6F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2017 год</w:t>
            </w:r>
          </w:p>
        </w:tc>
      </w:tr>
      <w:tr w:rsidR="00FB3E6F" w:rsidTr="00DD119C"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 w:rsidP="00DD119C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3994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 w:rsidP="00DD119C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3043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 w:rsidP="00DD119C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1710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 w:rsidP="00DD119C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1721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 w:rsidP="00DD119C">
            <w:pPr>
              <w:widowControl w:val="0"/>
              <w:tabs>
                <w:tab w:val="left" w:pos="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2284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 w:rsidP="00DD119C">
            <w:pPr>
              <w:widowControl w:val="0"/>
              <w:tabs>
                <w:tab w:val="left" w:pos="0"/>
                <w:tab w:val="center" w:pos="530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1322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6F" w:rsidRPr="00DD119C" w:rsidRDefault="00FB3E6F" w:rsidP="00DD119C">
            <w:pPr>
              <w:widowControl w:val="0"/>
              <w:tabs>
                <w:tab w:val="left" w:pos="0"/>
                <w:tab w:val="center" w:pos="459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103,00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6F" w:rsidRPr="00DD119C" w:rsidRDefault="00FB3E6F" w:rsidP="00DD119C">
            <w:pPr>
              <w:widowControl w:val="0"/>
              <w:tabs>
                <w:tab w:val="left" w:pos="0"/>
                <w:tab w:val="left" w:pos="217"/>
                <w:tab w:val="center" w:pos="529"/>
                <w:tab w:val="left" w:pos="567"/>
              </w:tabs>
              <w:suppressAutoHyphens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</w:pPr>
            <w:r w:rsidRPr="00DD119C">
              <w:rPr>
                <w:rFonts w:ascii="Times New Roman CYR" w:hAnsi="Times New Roman CYR" w:cs="Times New Roman CYR"/>
                <w:kern w:val="1"/>
                <w:sz w:val="24"/>
                <w:szCs w:val="24"/>
                <w:highlight w:val="white"/>
                <w:u w:color="FF0000"/>
              </w:rPr>
              <w:t>103,64</w:t>
            </w:r>
          </w:p>
        </w:tc>
      </w:tr>
    </w:tbl>
    <w:p w:rsidR="00E92571" w:rsidRDefault="00E92571" w:rsidP="00DD119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u w:color="FF0000"/>
        </w:rPr>
      </w:pPr>
    </w:p>
    <w:p w:rsidR="00FB3E6F" w:rsidRPr="00DD119C" w:rsidRDefault="00FB3E6F" w:rsidP="00DD119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u w:color="FF0000"/>
        </w:rPr>
      </w:pPr>
      <w:r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>Социальные услуги получили 100% обратившихся граждан.</w:t>
      </w:r>
    </w:p>
    <w:p w:rsidR="00FB3E6F" w:rsidRPr="00DD119C" w:rsidRDefault="00FB3E6F" w:rsidP="00DD119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u w:color="FF0000"/>
        </w:rPr>
      </w:pPr>
      <w:r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>Уменьшение получателей социальных услуг, в 2017 году, произошло в связи с уменьшением штатной численности отделения срочного социального обслуживания. На основании этого, были внесены изменения в плановые показания муниципального задания.</w:t>
      </w:r>
    </w:p>
    <w:p w:rsidR="00FB3E6F" w:rsidRPr="00DD119C" w:rsidRDefault="00FB3E6F" w:rsidP="00DD119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  <w:u w:color="FF0000"/>
        </w:rPr>
      </w:pPr>
      <w:r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>В течение 2016-2017 гг. сотрудники Центра работали над созданием условий для повышения доступности и качества социальных услуг, предоставляемых населению на основе использования инновационных форм и технологий социального обслуживания, в целях улучшения условий жизнедеятельности и расширения возможностей самостоятельно обеспечивать свои основные жизненные потребности в рамках реализации Федерального закона №442-ФЗ от 28.12.2013года «Об основах социального обслуживания граждан в Российской Федерации».</w:t>
      </w:r>
    </w:p>
    <w:p w:rsidR="00FB3E6F" w:rsidRPr="00DD119C" w:rsidRDefault="00DD119C" w:rsidP="00DD119C">
      <w:pPr>
        <w:pStyle w:val="a3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highlight w:val="white"/>
          <w:u w:color="FF0000"/>
        </w:rPr>
      </w:pPr>
      <w:r>
        <w:rPr>
          <w:rFonts w:ascii="Times New Roman" w:hAnsi="Times New Roman" w:cs="Times New Roman"/>
          <w:spacing w:val="-7"/>
          <w:sz w:val="28"/>
          <w:szCs w:val="28"/>
          <w:highlight w:val="white"/>
          <w:u w:color="FF0000"/>
        </w:rPr>
        <w:t>Приоритетными направлениями развития </w:t>
      </w:r>
      <w:r w:rsidR="00FB3E6F" w:rsidRPr="00DD119C">
        <w:rPr>
          <w:rFonts w:ascii="Times New Roman" w:hAnsi="Times New Roman" w:cs="Times New Roman"/>
          <w:spacing w:val="-7"/>
          <w:sz w:val="28"/>
          <w:szCs w:val="28"/>
          <w:highlight w:val="white"/>
          <w:u w:color="FF0000"/>
        </w:rPr>
        <w:t>Учреждения на 2018 год являются: совершенствование форм работы с гражданами, которые предполагают расширение</w:t>
      </w:r>
      <w:r>
        <w:rPr>
          <w:rFonts w:ascii="Times New Roman" w:hAnsi="Times New Roman" w:cs="Times New Roman"/>
          <w:spacing w:val="-7"/>
          <w:sz w:val="28"/>
          <w:szCs w:val="28"/>
          <w:highlight w:val="white"/>
          <w:u w:color="FF0000"/>
        </w:rPr>
        <w:t xml:space="preserve"> спектра предоставляемых услуг;</w:t>
      </w:r>
      <w:r w:rsidR="00FB3E6F" w:rsidRPr="00DD119C">
        <w:rPr>
          <w:rFonts w:ascii="Times New Roman" w:hAnsi="Times New Roman" w:cs="Times New Roman"/>
          <w:spacing w:val="-7"/>
          <w:sz w:val="28"/>
          <w:szCs w:val="28"/>
          <w:highlight w:val="white"/>
          <w:u w:color="FF0000"/>
        </w:rPr>
        <w:t xml:space="preserve"> укрепление материально-технической базы учреждения; </w:t>
      </w:r>
      <w:r w:rsidR="00FB3E6F"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>повышение квалификации и уровня компетенции специалистов;</w:t>
      </w:r>
      <w:r w:rsidR="00FB3E6F" w:rsidRPr="00DD119C">
        <w:rPr>
          <w:rFonts w:ascii="Times New Roman" w:hAnsi="Times New Roman" w:cs="Times New Roman"/>
          <w:spacing w:val="-7"/>
          <w:sz w:val="28"/>
          <w:szCs w:val="28"/>
          <w:highlight w:val="white"/>
          <w:u w:color="FF0000"/>
        </w:rPr>
        <w:t xml:space="preserve"> </w:t>
      </w:r>
      <w:r w:rsidR="00FB3E6F"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>укрепление социальной защищенности работников Центра;</w:t>
      </w:r>
      <w:r w:rsidR="00FB3E6F" w:rsidRPr="00DD119C">
        <w:rPr>
          <w:rFonts w:ascii="Times New Roman" w:hAnsi="Times New Roman" w:cs="Times New Roman"/>
          <w:spacing w:val="-7"/>
          <w:sz w:val="28"/>
          <w:szCs w:val="28"/>
          <w:highlight w:val="white"/>
          <w:u w:color="FF0000"/>
        </w:rPr>
        <w:t xml:space="preserve"> </w:t>
      </w:r>
      <w:r w:rsidR="00FB3E6F"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>межведомственное взаимодействие, взаимодейст</w:t>
      </w:r>
      <w:r>
        <w:rPr>
          <w:rFonts w:ascii="Times New Roman" w:hAnsi="Times New Roman" w:cs="Times New Roman"/>
          <w:sz w:val="28"/>
          <w:szCs w:val="28"/>
          <w:highlight w:val="white"/>
          <w:u w:color="FF0000"/>
        </w:rPr>
        <w:t>вие с органами</w:t>
      </w:r>
      <w:r w:rsidR="00FB3E6F"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> местного самоуправления, общественных организаций;</w:t>
      </w:r>
      <w:r w:rsidR="00FB3E6F" w:rsidRPr="00DD119C">
        <w:rPr>
          <w:rFonts w:ascii="Times New Roman" w:hAnsi="Times New Roman" w:cs="Times New Roman"/>
          <w:spacing w:val="-7"/>
          <w:sz w:val="28"/>
          <w:szCs w:val="28"/>
          <w:highlight w:val="white"/>
          <w:u w:color="FF0000"/>
        </w:rPr>
        <w:t xml:space="preserve"> </w:t>
      </w:r>
      <w:r w:rsidR="00FB3E6F" w:rsidRPr="00DD119C">
        <w:rPr>
          <w:rFonts w:ascii="Times New Roman" w:hAnsi="Times New Roman" w:cs="Times New Roman"/>
          <w:sz w:val="28"/>
          <w:szCs w:val="28"/>
          <w:highlight w:val="white"/>
          <w:u w:color="FF0000"/>
        </w:rPr>
        <w:t>информационная работа с населением.</w:t>
      </w:r>
      <w:r w:rsidR="00FB3E6F" w:rsidRPr="00DD119C">
        <w:rPr>
          <w:rFonts w:ascii="Times New Roman" w:hAnsi="Times New Roman" w:cs="Times New Roman"/>
          <w:color w:val="FF0000"/>
          <w:sz w:val="28"/>
          <w:szCs w:val="28"/>
          <w:highlight w:val="white"/>
          <w:u w:color="FF0000"/>
        </w:rPr>
        <w:t xml:space="preserve">   </w:t>
      </w:r>
    </w:p>
    <w:p w:rsidR="00FB3E6F" w:rsidRPr="00DD119C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color="FF0000"/>
        </w:rPr>
      </w:pPr>
      <w:r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FB3E6F" w:rsidRPr="00DD119C" w:rsidRDefault="00DD119C" w:rsidP="00DD119C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DD119C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Жилищно-коммунальное хозяйство</w:t>
      </w:r>
    </w:p>
    <w:p w:rsidR="00DD119C" w:rsidRPr="00DD119C" w:rsidRDefault="00DD119C" w:rsidP="00DD119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DD119C" w:rsidRPr="00DD119C" w:rsidRDefault="00DD119C" w:rsidP="00DD11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sz w:val="28"/>
          <w:szCs w:val="28"/>
          <w:u w:color="FF0000"/>
        </w:rPr>
      </w:pPr>
      <w:r w:rsidRPr="00DD119C">
        <w:rPr>
          <w:rFonts w:ascii="Times New Roman CYR" w:hAnsi="Times New Roman CYR" w:cs="Times New Roman CYR"/>
          <w:b/>
          <w:sz w:val="28"/>
          <w:szCs w:val="28"/>
          <w:u w:color="FF0000"/>
        </w:rPr>
        <w:t>22.1. Жилищный фонд</w:t>
      </w:r>
    </w:p>
    <w:p w:rsidR="00DD119C" w:rsidRDefault="00DD119C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Общая площадь жилищного фонда города Боготола составляет 515,9 тыс.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 w:rsidR="00DD119C"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из них 0,6 тыс. кв. м – находится в государственной собственности, 26,6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тыс.кв.м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составляет муниципальный жилищный фонд и 488,7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тыс.кв.м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. частный жилищный фонд.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Всего количество жилых домов города Боготола составляет 5435 единиц, из них 651 многоквартирный дом, в том числе 471 дом блокированной застройки. В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651 многоквартирных домах находится 6381 жилая квартира, из них 475 находятся в муниципальной собственности.</w:t>
      </w:r>
    </w:p>
    <w:p w:rsidR="00FB3E6F" w:rsidRDefault="00FB3E6F" w:rsidP="00FB3E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Доля непригодного жилищного фонда в городе Боготоле составляет до 8,8% от общего жилищного фонда муниципального образования.</w:t>
      </w:r>
    </w:p>
    <w:p w:rsidR="00FB3E6F" w:rsidRDefault="00FB3E6F" w:rsidP="00FB3E6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На протяжении многих лет капитальный ремонт жилищного фонда в муниципальном образовании практически не производился, что еще больше усилило процесс ветшания жилищного фонда.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На 01.01.2018 года количество аварийных жилых домов на территории города составляет 300 единиц, из них 233 многоквартирных дома и 67 индивидуально-определенных дома.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2016-2017 годах программа по «Переселению граждан из аварийного жилищного фонда в Красноярском крае» на территории города Боготола не реализовывалась, аварийный жилищный фонд не расселялся и новые многоквартирные жилые дома не строились, ввиду чего снижение показателя по количеству аварийного жилья на территории не ожидается.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2017 году 29 семей по договорам социального найма получили жилые помещения и улучшили свои жилищные условия (с учетом численности детей-сирот).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Default="00DD119C" w:rsidP="00DD11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22.2. </w:t>
      </w:r>
      <w:r w:rsidR="00FB3E6F"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>Коммунальное хозяйство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городе Боготоле функционирует 10 котельных, из них: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- 1 котельная ООО «Водоканал-Сервис»,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- 1 узловая котельная на ст. Боготол,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 электрическая котельная МБДОУ №8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г.Боготола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,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- 7 котельных в обслуживании АО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КрасЭКо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», которые включают в себя: 1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электрокотельную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1 котельную мощностью 88 Гкал/час, 5 автоматизированных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блочно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-модульных котельных суммарной установленной мощностью 2,408 Гкал/час (введены в эксплуатацию в марте 2017 года, при вводе данных котельных значительно снизились материальные и физические затраты на обслуживание и эксплуатацию котельных, сократились расходы на приобретение топлива, воды и электроэнергию, а также улучшилось качество теплоснабжении потребителей). Выполнено ограждение территорий автоматизированных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блочно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-модульных котельных №2, №6.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рамках программы по повышению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энергоэффективности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и энергосбережения ресурсов в 2017 году на котельной №8 выполнено оснащение частотными преобразователями систем управления электродвигателями дымососов и вентиляторов водогрейных котлов №1 и №5, что привело к снижению расхода электроэнергии до 20%, а также увеличению срока службы оборудования.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В ЦТП №2, №3, №4 на теплообменниках были установлены регуляторы температуры, что привело к снижению расхода тепловой энергии, топлива, электроэнергии, а также предоставлению качественной услуги по горячему водоснабжению потребителей.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Протяженность, обслуживаемых тепловых сетей составляет 28,6 км в двухтрубном исчислении. В 2017 году от котельных №5, №6, №8, РЖД выполнена перекладка ветхих тепловых сетей в количестве 0,450 км в двухтрубном исчислении по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ул.Урицкого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8а,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ул.Колхозная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9а,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пер.Мельничный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ул.Куйбышева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32, ул.40 лет Октября, 10,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ул.Сибирская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32, 36,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ул.Опытная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Станция с использованием трубопроводов в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предизоляции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скорлупами из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пенополиуретана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. Выполнена замена изношенной теплоизоляции в количестве 0,5 км в двухтрубном исполнении с применением современных теплоизоляционных материалов из скорлуп ППУ. При выполнении указанных мероприятий значительно снизились потери тепла на теплосетях, что привело к снижению расхода тепловой энергии, топлива на котельных, а также улучшению качества теплоснабжения потребителей. 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По неотложным мероприятиям в 2017 году был приобретен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илососный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автомобиль на шасси – ГАЗ ИМ-З. 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Водоснабжение в городе осуществляет ООО «Водоканал-Сервис». Протяженность уличных водопроводных сетей города составляет 38,3 км, из них 18,7 км нуждающихся в замене.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2017 году за счет средств бюджета проведен капитальный ремонт водопроводных сетей: от ВК 342 по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ул.Линейная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до ВК 348 по ул. Иркутская, от ВК 34 до ВК 266 по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ул.Комсомольская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, протяженность составила 1157 м.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В 2017 году произведен капитальный ремонт канализационного коллектора по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ул.Комсомольская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44, и напорного канализационного коллектора по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ул.Заводская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, общей протяженностью 225 м.</w:t>
      </w:r>
    </w:p>
    <w:p w:rsidR="00FB3E6F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Расходы на капитальный ремонт объектов систем тепло-, электро-, водоснабжения и водоотведения за счет всех источников финансирования в 2017 год</w:t>
      </w:r>
      <w:r w:rsidR="00DD119C">
        <w:rPr>
          <w:rFonts w:ascii="Times New Roman CYR" w:hAnsi="Times New Roman CYR" w:cs="Times New Roman CYR"/>
          <w:sz w:val="28"/>
          <w:szCs w:val="28"/>
          <w:u w:color="FF0000"/>
        </w:rPr>
        <w:t xml:space="preserve">у составили 8118,200 тыс. руб. </w:t>
      </w:r>
    </w:p>
    <w:p w:rsidR="00DD119C" w:rsidRPr="00DD119C" w:rsidRDefault="00DD119C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Pr="00DD119C" w:rsidRDefault="00DD119C" w:rsidP="00DD119C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DD119C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Экологическая ситуация</w:t>
      </w:r>
    </w:p>
    <w:p w:rsidR="00DD119C" w:rsidRPr="00DD119C" w:rsidRDefault="00DD119C" w:rsidP="00DD119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Состояние окружающей среды на территории города Боготола оценивается как стабильное.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На территории города Боготола поставщиком питьевой воды </w:t>
      </w:r>
      <w:r w:rsidR="00C913B4">
        <w:rPr>
          <w:rFonts w:ascii="Times New Roman CYR" w:hAnsi="Times New Roman CYR" w:cs="Times New Roman CYR"/>
          <w:sz w:val="28"/>
          <w:szCs w:val="28"/>
          <w:u w:color="FF0000"/>
        </w:rPr>
        <w:t>является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предприятие ООО "Водоканал-Сервис", </w:t>
      </w:r>
      <w:r w:rsidR="00C913B4">
        <w:rPr>
          <w:rFonts w:ascii="Times New Roman CYR" w:hAnsi="Times New Roman CYR" w:cs="Times New Roman CYR"/>
          <w:sz w:val="28"/>
          <w:szCs w:val="28"/>
          <w:u w:color="FF0000"/>
        </w:rPr>
        <w:t>которое осуществляет забор и очистку воды из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реки Чулым.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Cтруктурные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подразделения ОАО «РЖД» осуществляют забор воды для собственных нужд из подземных источников.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В 2017 году объем забора воды по городу уменьшился на 13,1% по сравнению с аналогичным периодом 2016 года и составил 881,44 тыс.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куб.м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. в </w:t>
      </w: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lastRenderedPageBreak/>
        <w:t>год, главным образом, за счет сокращения объема использования воды на производственные нужды, на 18,8%.</w:t>
      </w:r>
    </w:p>
    <w:p w:rsidR="00FB3E6F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Объем нормативно-очищенных сточных вод, сбрасываемых в поверхностные водные объекты за 2017 год напротив, увеличился по сравнению с 2016 годом на 2,3% и составил 533,9 тыс.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куб.</w:t>
      </w:r>
      <w:r w:rsidR="00C913B4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м</w:t>
      </w:r>
      <w:proofErr w:type="spellEnd"/>
      <w:r w:rsidR="00C913B4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.</w:t>
      </w:r>
    </w:p>
    <w:p w:rsidR="00FB3E6F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В 2017 году объем загрязняющих веществ, отходящих от стационарных источников загрязнения атмосферного воздуха увеличился по сравнению с аналогичным периодом прошлого года на 6,3%, или на 202,14 тонны и фактически составил на конец 2017 года 3387,28 тонны.</w:t>
      </w:r>
    </w:p>
    <w:p w:rsidR="00FB3E6F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На 12,8% увеличился объем уловленных и обезвреженных загрязняющих веществ, отходящих от стационарных источников загрязнения атмосферного воздуха, в 2017 году данный показатель составил 1771,44 тонны. Таким образом, удельный вес уловленных и обезвреженных вредных веществ в общем объеме загрязняющих веществ, отходящих от стационарных источников загрязнения атмосферного воздуха составил в 2017 году 52,3%.</w:t>
      </w:r>
    </w:p>
    <w:p w:rsidR="00DD119C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В 2017 году увеличилось на 4,6% или на 369 тонны и количество выбросов загрязняющих веществ в атмосферный воздух от передвижных источников по причине увеличения легкового и грузового потока автомобильного транспорта на территории города. </w:t>
      </w:r>
    </w:p>
    <w:p w:rsidR="00FB3E6F" w:rsidRPr="00DD119C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2017 году образование отходов производства и потребления на территории города увеличилось в 3,2 раза по сравнению с 2016 годом и составило 3211,36 тонн.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1 организация на территории города Боготола использует отходы в качестве вторичных материальных ресурсов.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Количество отходов, используемых в качестве вторичных материальных ресурсов за 2017 год составило 85,5 тонн, это отходы V класса опасности (практически неопасные для окружающей природной среды).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отходов, переданных для обезвреживания в 2017 году составило 312,34 тонн, из них отходы I класса опасности для окружающей природной среды составили 0,63 тонны и отходы III класса опасности - 311,71 тонн.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На территории города Боготола действуют 2 объекта по санкционированному размещению отходов:</w:t>
      </w:r>
    </w:p>
    <w:p w:rsidR="00FB3E6F" w:rsidRDefault="00DD119C" w:rsidP="00DD119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полигон для твердых бытовых отходов г. Боготола, расположенный на территории </w:t>
      </w:r>
      <w:proofErr w:type="spellStart"/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Боготольского</w:t>
      </w:r>
      <w:proofErr w:type="spellEnd"/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 района, в 3 км от города в восточном направлении, площадь которого составляет 3,609 га (ввод объекта 02.09.2013 №RU-24506000-16, передан в аренду ООО "Полигон"); мощность полигона по размещению и хранению отходов, выполненного и </w:t>
      </w:r>
      <w:proofErr w:type="spellStart"/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эксплуатирующегося</w:t>
      </w:r>
      <w:proofErr w:type="spellEnd"/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 в соответствии с экологическими, строительными и санитарными нормами и правилами, согласно проектам, прошедшим государственную экспертизу, составляет 37500,0 тонн;  </w:t>
      </w:r>
    </w:p>
    <w:p w:rsidR="00FB3E6F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2)  площадка для временного накопления тверды бытовых отходов, площадью 3911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., расположенная по адресу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г.Боготол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ул.Иркутская</w:t>
      </w:r>
      <w:proofErr w:type="spellEnd"/>
      <w:r w:rsidR="000228FB"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62 В.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Построена в 2015 году в рамках участия в подпрограмме "Обращение с отходами на территории Красноярского края "Охрана окружающей среды, воспроизводство природных ресурсов" по мероприятию в области обращения с отходами в части организации (строительства) временного накопления отходов потребления муниципальным образованием город Боготол.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Определен и поставлен на кадастровый учет земельный участок для строительства площадки временного накопления твердых бытовых отходов, площадью 3758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. по адресу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г.Боготол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ул.Сибирская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, 192.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На территории города Боготола отсутствуют организации по обезвреживанию отходов, а также предприятия по утилизации и переработке бытовых и промышленных отходов.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За 2017 год вывезено 17,8 тыс. куб. м. твердых коммунальных отходов.</w:t>
      </w:r>
    </w:p>
    <w:p w:rsidR="00FB3E6F" w:rsidRPr="00DD119C" w:rsidRDefault="00FB3E6F" w:rsidP="00DD11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рамках муниципальной программы "Реформирование и модернизация жилищно-коммунального хозяйства, повышение энергетической эффективности благоустройство территории города" подпрограммы "Обращение с отходами" выполняются поставленные задачи по ликвидации несанкционирова</w:t>
      </w:r>
      <w:r w:rsidR="00C913B4">
        <w:rPr>
          <w:rFonts w:ascii="Times New Roman CYR" w:hAnsi="Times New Roman CYR" w:cs="Times New Roman CYR"/>
          <w:sz w:val="28"/>
          <w:szCs w:val="28"/>
          <w:u w:color="FF0000"/>
        </w:rPr>
        <w:t>нных свалок с территории города,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в 2017 году площадь ликвидированных несанкционированных сва</w:t>
      </w:r>
      <w:r w:rsidR="00DD119C">
        <w:rPr>
          <w:rFonts w:ascii="Times New Roman CYR" w:hAnsi="Times New Roman CYR" w:cs="Times New Roman CYR"/>
          <w:sz w:val="28"/>
          <w:szCs w:val="28"/>
          <w:u w:color="FF0000"/>
        </w:rPr>
        <w:t>лок по городу составила 3,4 га.</w:t>
      </w:r>
    </w:p>
    <w:p w:rsidR="00FB3E6F" w:rsidRPr="00DD119C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color="FF0000"/>
        </w:rPr>
      </w:pPr>
      <w:r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FB3E6F" w:rsidRPr="00DD119C" w:rsidRDefault="00DD119C" w:rsidP="00DD119C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DD119C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Правонарушения</w:t>
      </w:r>
    </w:p>
    <w:p w:rsidR="00DD119C" w:rsidRPr="00DD119C" w:rsidRDefault="00DD119C" w:rsidP="00DD119C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На территории муниципального образования город Боготол охрану общественного порядка осуществляют: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межмуниципальный отдел внутренних дел министерства внутренних дел Российской Федерации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»;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общественная организация «Добровольная народная дружина «Гранит», зарегистрированная 14.04.2015 на основании решения Главного управления МВД России по Красноярскому краю.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Согласно сведениям, представленным МО МВД России «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Боготольский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» в 2017 году количество зарегистрированных преступлений уменьшилось на 6% в сравнении с уровнем 2016 года и составило – 427.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Увеличилась в 2017 году, в сравнении с 2016 годом</w:t>
      </w:r>
      <w:r w:rsidR="00C913B4"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раскрываемость правонарушений, зарегистрированных на территории города Боготола, в отчетном периоде данный показатель составил 78,7%.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color="FF0000"/>
        </w:rPr>
      </w:pPr>
      <w:r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FB3E6F" w:rsidRPr="000626FF" w:rsidRDefault="000626FF" w:rsidP="000626FF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0626FF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Реализация на территории муниципального образования федеральных и краевых целевых программ</w:t>
      </w:r>
    </w:p>
    <w:p w:rsidR="000626FF" w:rsidRPr="000626FF" w:rsidRDefault="000626FF" w:rsidP="000626FF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Pr="009D674E" w:rsidRDefault="00FB3E6F" w:rsidP="000626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24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  <w:t>На территории муниципального образования действуют 13 муниципальных программ</w:t>
      </w:r>
      <w:r w:rsidRPr="009D674E">
        <w:rPr>
          <w:rFonts w:ascii="Times New Roman" w:hAnsi="Times New Roman" w:cs="Times New Roman"/>
          <w:color w:val="000000"/>
          <w:kern w:val="24"/>
          <w:sz w:val="28"/>
          <w:szCs w:val="28"/>
          <w:u w:color="FF0000"/>
        </w:rPr>
        <w:t>: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</w:pPr>
    </w:p>
    <w:tbl>
      <w:tblPr>
        <w:tblW w:w="97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7"/>
        <w:gridCol w:w="6494"/>
        <w:gridCol w:w="2421"/>
      </w:tblGrid>
      <w:tr w:rsidR="00FB3E6F" w:rsidTr="000626FF"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color="FF0000"/>
              </w:rPr>
              <w:lastRenderedPageBreak/>
              <w:t>№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0626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color="FF0000"/>
              </w:rPr>
              <w:t>Наименование муниципальной программы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u w:color="FF0000"/>
              </w:rPr>
              <w:t>№ постановления</w:t>
            </w:r>
          </w:p>
        </w:tc>
      </w:tr>
      <w:tr w:rsidR="00FB3E6F" w:rsidTr="000626FF"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Содействие занятости населения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от 30.09.2013 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№ 1248-п</w:t>
            </w:r>
          </w:p>
        </w:tc>
      </w:tr>
      <w:tr w:rsidR="00FB3E6F" w:rsidTr="000626FF"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2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Гражданское общество – открытый муниципалитет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от 30.09.2013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 № 1249-п</w:t>
            </w:r>
          </w:p>
        </w:tc>
      </w:tr>
      <w:tr w:rsidR="00FB3E6F" w:rsidTr="000626FF"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3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Управление муниципальными финансами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от 23.09.2013 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№ 1184-п</w:t>
            </w:r>
          </w:p>
        </w:tc>
      </w:tr>
      <w:tr w:rsidR="00FB3E6F" w:rsidTr="000626FF"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4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Развитие инвестиционной деятельности, малого и среднего предпринимательства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от 30.09.2013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 № 1247-п</w:t>
            </w:r>
          </w:p>
        </w:tc>
      </w:tr>
      <w:tr w:rsidR="00FB3E6F" w:rsidTr="000626FF"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5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Реформирование и модернизация ЖК;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от 16.03.2015 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№ 0280-п</w:t>
            </w:r>
          </w:p>
        </w:tc>
      </w:tr>
      <w:tr w:rsidR="00FB3E6F" w:rsidTr="000626FF"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6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Развитие транспортной системы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от 09.08.2013 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№ 0963-п</w:t>
            </w:r>
          </w:p>
        </w:tc>
      </w:tr>
      <w:tr w:rsidR="00FB3E6F" w:rsidTr="000626FF"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7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Обеспечение доступным и комфортным жильем жителей города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от 04.10.2013 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№ 1268-п</w:t>
            </w:r>
          </w:p>
        </w:tc>
      </w:tr>
      <w:tr w:rsidR="00FB3E6F" w:rsidTr="000626FF"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8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Социальная поддержка граждан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от 31.10.2014 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№ 1797-п</w:t>
            </w:r>
          </w:p>
        </w:tc>
      </w:tr>
      <w:tr w:rsidR="00FB3E6F" w:rsidTr="000626FF">
        <w:trPr>
          <w:trHeight w:val="615"/>
        </w:trPr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9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Развитие культуры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от 04.10.2013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 № 1267-п</w:t>
            </w:r>
          </w:p>
        </w:tc>
      </w:tr>
      <w:tr w:rsidR="00FB3E6F" w:rsidTr="000626FF"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10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Развитие физической культуры и спорта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от 04.10.2013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 № 1275-п</w:t>
            </w:r>
          </w:p>
        </w:tc>
      </w:tr>
      <w:tr w:rsidR="00FB3E6F" w:rsidTr="000626FF">
        <w:trPr>
          <w:trHeight w:val="540"/>
        </w:trPr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11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Молодежь 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от 30.09.2013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 № 1234-п</w:t>
            </w:r>
          </w:p>
        </w:tc>
      </w:tr>
      <w:tr w:rsidR="00FB3E6F" w:rsidTr="000626FF"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12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Развитие образования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от 04.10.2013 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№ 1266-п</w:t>
            </w:r>
          </w:p>
        </w:tc>
      </w:tr>
      <w:tr w:rsidR="00FB3E6F" w:rsidTr="000626FF">
        <w:tc>
          <w:tcPr>
            <w:tcW w:w="8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13</w:t>
            </w:r>
          </w:p>
        </w:tc>
        <w:tc>
          <w:tcPr>
            <w:tcW w:w="6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Защита населения и территории города от ЧС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 xml:space="preserve">от 04.10.2013 </w:t>
            </w:r>
          </w:p>
          <w:p w:rsidR="00FB3E6F" w:rsidRDefault="00FB3E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u w:color="FF0000"/>
              </w:rPr>
              <w:t>№ 1270-п</w:t>
            </w:r>
          </w:p>
        </w:tc>
      </w:tr>
    </w:tbl>
    <w:p w:rsidR="00FB3E6F" w:rsidRDefault="00FB3E6F" w:rsidP="00FB3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</w:pPr>
    </w:p>
    <w:p w:rsidR="00FB3E6F" w:rsidRPr="00F12BA6" w:rsidRDefault="00FB3E6F" w:rsidP="000626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kern w:val="24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  <w:t xml:space="preserve"> В 201</w:t>
      </w:r>
      <w:r w:rsidRPr="00F12BA6">
        <w:rPr>
          <w:rFonts w:ascii="Times New Roman" w:hAnsi="Times New Roman" w:cs="Times New Roman"/>
          <w:color w:val="000000"/>
          <w:kern w:val="24"/>
          <w:sz w:val="28"/>
          <w:szCs w:val="28"/>
          <w:u w:color="FF0000"/>
        </w:rPr>
        <w:t>7</w:t>
      </w:r>
      <w:r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  <w:t xml:space="preserve"> году муниципальное образование город Боготол участвовал</w:t>
      </w:r>
      <w:r w:rsidR="00811AEB"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  <w:t>о</w:t>
      </w:r>
      <w:r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  <w:t xml:space="preserve"> в мероприятиях, предусмотренных государственными </w:t>
      </w:r>
      <w:r w:rsidRPr="00F12BA6">
        <w:rPr>
          <w:rFonts w:ascii="Times New Roman" w:hAnsi="Times New Roman" w:cs="Times New Roman"/>
          <w:color w:val="000000"/>
          <w:kern w:val="24"/>
          <w:sz w:val="28"/>
          <w:szCs w:val="28"/>
          <w:u w:color="FF0000"/>
        </w:rPr>
        <w:t>(</w:t>
      </w:r>
      <w:r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  <w:t>федеральными, краевыми) программами</w:t>
      </w:r>
      <w:r w:rsidR="000626FF">
        <w:rPr>
          <w:rFonts w:ascii="Times New Roman" w:hAnsi="Times New Roman" w:cs="Times New Roman"/>
          <w:color w:val="000000"/>
          <w:kern w:val="24"/>
          <w:sz w:val="28"/>
          <w:szCs w:val="28"/>
          <w:u w:color="FF0000"/>
        </w:rPr>
        <w:t>.</w:t>
      </w:r>
    </w:p>
    <w:p w:rsidR="00FB3E6F" w:rsidRDefault="00FB3E6F" w:rsidP="000626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В рамках участия </w:t>
      </w:r>
      <w:r w:rsidR="000626FF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муниципальной программы города Боготола «Развитие инвестиционной деятельности, малого и среднего предпринимательства» подпрограммы</w:t>
      </w: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«Развитие субъектов среднего пред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 xml:space="preserve">принимательства на территории города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Боготола» была предоставлена субсидия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 xml:space="preserve"> из краевого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 xml:space="preserve">бюджета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бюджету г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>орода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в размере 1</w:t>
      </w:r>
      <w:r w:rsidRPr="00F12BA6">
        <w:rPr>
          <w:rFonts w:ascii="Times New Roman" w:hAnsi="Times New Roman" w:cs="Times New Roman"/>
          <w:sz w:val="28"/>
          <w:szCs w:val="28"/>
          <w:u w:color="FF0000"/>
        </w:rPr>
        <w:t>0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>00,00 тысяч рублей.</w:t>
      </w:r>
    </w:p>
    <w:p w:rsidR="00FB3E6F" w:rsidRDefault="000626FF" w:rsidP="000626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Ф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инансовую поддержку получили </w:t>
      </w:r>
      <w:r w:rsidR="00FB3E6F" w:rsidRPr="00F12BA6">
        <w:rPr>
          <w:rFonts w:ascii="Times New Roman" w:hAnsi="Times New Roman" w:cs="Times New Roman"/>
          <w:sz w:val="28"/>
          <w:szCs w:val="28"/>
          <w:u w:color="FF0000"/>
        </w:rPr>
        <w:t>3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 субъекта малого бизнеса по мероприятию «Субсидирование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товаров», создано 4 новых рабочих места, привлечено инвестиций на сумму 3 333,2 тыс. руб.</w:t>
      </w:r>
    </w:p>
    <w:p w:rsidR="00FB3E6F" w:rsidRDefault="00FB3E6F" w:rsidP="000626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  <w:t>В рамках государственной программы Красноярск</w:t>
      </w:r>
      <w:r w:rsidR="000626FF"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  <w:t>ого края «Развитие образования» в период</w:t>
      </w:r>
      <w:r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  <w:t xml:space="preserve"> 2018-20</w:t>
      </w:r>
      <w:r w:rsidRPr="00F12BA6">
        <w:rPr>
          <w:rFonts w:ascii="Times New Roman" w:hAnsi="Times New Roman" w:cs="Times New Roman"/>
          <w:color w:val="000000"/>
          <w:kern w:val="24"/>
          <w:sz w:val="28"/>
          <w:szCs w:val="28"/>
          <w:u w:color="FF0000"/>
        </w:rPr>
        <w:t>20</w:t>
      </w:r>
      <w:r w:rsidR="00811AEB"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  <w:t xml:space="preserve"> годы</w:t>
      </w:r>
      <w:r>
        <w:rPr>
          <w:rFonts w:ascii="Times New Roman CYR" w:hAnsi="Times New Roman CYR" w:cs="Times New Roman CYR"/>
          <w:color w:val="000000"/>
          <w:kern w:val="24"/>
          <w:sz w:val="28"/>
          <w:szCs w:val="28"/>
          <w:u w:color="FF0000"/>
        </w:rPr>
        <w:t xml:space="preserve"> планируется строительство школы на 550 мест.</w:t>
      </w:r>
    </w:p>
    <w:p w:rsidR="00FB3E6F" w:rsidRDefault="00FB3E6F" w:rsidP="000626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В соответствии с государственной программой: «Реформирование и модернизация жилищно-коммунального хозяйства и повышение энергетической эффективности» в 2017 году произведен</w:t>
      </w: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 капитальный ремонт с заменой ветхих водопроводных сетей от ВК-342 по ул.</w:t>
      </w:r>
      <w:r w:rsidR="000626FF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Линейной до ВК по ул. Иркутская, замена ветхих водопроводных сетей от ВК 34 до ВК 266 по ул. Комсомольская - 513 м. (замена сетей П/Э 225 мм.)</w:t>
      </w:r>
      <w:r w:rsidR="000626FF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.</w:t>
      </w:r>
    </w:p>
    <w:p w:rsidR="00FB3E6F" w:rsidRDefault="000626FF" w:rsidP="000626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 2017 году на реализацию муниципальным бюджетным учреждением культуры «</w:t>
      </w:r>
      <w:proofErr w:type="spellStart"/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Боготольский</w:t>
      </w:r>
      <w:proofErr w:type="spellEnd"/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 городской парк культуры и отдыха» социокультурного проекта «Зеленый друг города» в соответствии</w:t>
      </w:r>
      <w:r w:rsidR="00E81C42">
        <w:rPr>
          <w:rFonts w:ascii="Times New Roman CYR" w:hAnsi="Times New Roman CYR" w:cs="Times New Roman CYR"/>
          <w:sz w:val="28"/>
          <w:szCs w:val="28"/>
          <w:u w:color="FF0000"/>
        </w:rPr>
        <w:t xml:space="preserve"> с Постановлением правительства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 Красноярского края от 08.0</w:t>
      </w:r>
      <w:r w:rsidR="00E81C42">
        <w:rPr>
          <w:rFonts w:ascii="Times New Roman CYR" w:hAnsi="Times New Roman CYR" w:cs="Times New Roman CYR"/>
          <w:sz w:val="28"/>
          <w:szCs w:val="28"/>
          <w:u w:color="FF0000"/>
        </w:rPr>
        <w:t>6.2017 №317-п выделены средства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 в размере 5 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млн. рублей.</w:t>
      </w:r>
      <w:r w:rsidR="00FB3E6F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  </w:t>
      </w:r>
    </w:p>
    <w:p w:rsidR="00FB3E6F" w:rsidRDefault="00FB3E6F" w:rsidP="000626FF">
      <w:pPr>
        <w:autoSpaceDE w:val="0"/>
        <w:autoSpaceDN w:val="0"/>
        <w:adjustRightInd w:val="0"/>
        <w:spacing w:after="0" w:line="276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За счет средств краевого бюджета выполнены следующие виды работ: </w:t>
      </w:r>
    </w:p>
    <w:p w:rsidR="00FB3E6F" w:rsidRDefault="00FB3E6F" w:rsidP="000626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Устройство асф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 xml:space="preserve">альтобетонных покрытий дорожек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2580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 </w:t>
      </w:r>
    </w:p>
    <w:p w:rsidR="00FB3E6F" w:rsidRDefault="00872C04" w:rsidP="000626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Устройство покрытий из брусчатки 1280 </w:t>
      </w:r>
      <w:proofErr w:type="spellStart"/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кв.м</w:t>
      </w:r>
      <w:proofErr w:type="spellEnd"/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.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>,</w:t>
      </w:r>
    </w:p>
    <w:p w:rsidR="00FB3E6F" w:rsidRDefault="00872C04" w:rsidP="000626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Укладка водоотводных лотков – 10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шт.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 w:rsidR="00FB3E6F"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 </w:t>
      </w:r>
    </w:p>
    <w:p w:rsidR="00FB3E6F" w:rsidRDefault="00872C04" w:rsidP="000626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Укладка крышек д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 xml:space="preserve">ля 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водоотводных лотков – 35 шт.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>,</w:t>
      </w:r>
    </w:p>
    <w:p w:rsidR="00FB3E6F" w:rsidRDefault="00872C04" w:rsidP="000626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>Установка опор освещения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 - 50 шт.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 w:rsidR="00FB3E6F"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 </w:t>
      </w:r>
    </w:p>
    <w:p w:rsidR="00FB3E6F" w:rsidRDefault="00872C04" w:rsidP="000626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Установка осветительных щитов – 2 шт.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>,</w:t>
      </w:r>
    </w:p>
    <w:p w:rsidR="00FB3E6F" w:rsidRDefault="00872C04" w:rsidP="000626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Прокладка кабелей – 886 м.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 w:rsidR="00FB3E6F"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 </w:t>
      </w:r>
    </w:p>
    <w:p w:rsidR="00FB3E6F" w:rsidRDefault="00872C04" w:rsidP="000626F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Установка бортовых камней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>,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</w:p>
    <w:p w:rsidR="00FB3E6F" w:rsidRDefault="00872C04" w:rsidP="00FB3E6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Приобретение сцены (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 xml:space="preserve">размером 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4</w:t>
      </w:r>
      <w:r w:rsidR="00811AEB">
        <w:rPr>
          <w:rFonts w:ascii="Times New Roman CYR" w:hAnsi="Times New Roman CYR" w:cs="Times New Roman CYR"/>
          <w:sz w:val="28"/>
          <w:szCs w:val="28"/>
          <w:u w:color="FF0000"/>
        </w:rPr>
        <w:t>м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х6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>м</w:t>
      </w:r>
      <w:r w:rsidR="00FB3E6F">
        <w:rPr>
          <w:rFonts w:ascii="Times New Roman CYR" w:hAnsi="Times New Roman CYR" w:cs="Times New Roman CYR"/>
          <w:sz w:val="28"/>
          <w:szCs w:val="28"/>
          <w:u w:color="FF0000"/>
        </w:rPr>
        <w:t>)</w:t>
      </w:r>
      <w:r w:rsidR="000626FF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811AEB" w:rsidRPr="000626FF" w:rsidRDefault="00811AEB" w:rsidP="000626FF">
      <w:pPr>
        <w:autoSpaceDE w:val="0"/>
        <w:autoSpaceDN w:val="0"/>
        <w:adjustRightInd w:val="0"/>
        <w:spacing w:after="0" w:line="240" w:lineRule="auto"/>
        <w:ind w:left="567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Pr="000626FF" w:rsidRDefault="000626FF" w:rsidP="000626FF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0626FF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Основные проблемы развития муниципального образования</w:t>
      </w:r>
    </w:p>
    <w:p w:rsidR="000626FF" w:rsidRPr="000626FF" w:rsidRDefault="000626FF" w:rsidP="000626FF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Анализ фактических данных, отражающих социально-экономическое состояние муниципального образования, показывает наличие спектра проблем, которые относятся как к социальной сфере, так и к сфере экономики.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 основным проблемам социально-экономического развития города Боготола можно отнести: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отток трудоспособного населения в крупные города с открывающимися возможностями в сфере бизнеса, трудоустройства, лучшими социальными условиями;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сокращение количества физических лиц, занимающихся предпринимательской деятельностью и числа хозяйствующих субъектов, что приводит к снижению налоговых доходов консолидированного бюджета;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высокая кадровая потребность молодых специалистов в сфере здравоохранения, образования и культуры вследствие «старения кадров»;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- наличие образовательных учреждений, не в полной мере отвечающих современным условиям осуществления образовательного процесса (МБОУ СОШ №6 располагается в приспособленном здании детского сада, которое не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соответствует требованиям СанПиН: нет спортивного зала, размеры рабочей зоны обучающихся в учебных кабинетах ниже нормы, узкие коридоры);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отсутствие общедоступного современного физкультурно-оздоровительного, спортивного сооружения, что в свою очередь, сдерживает процесс развития массовой физической культуры и спорта;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 высокая доля непригодного жилищного фонда в общем объеме жилищного фонда, которая составляет 8,8%;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высокая степень износа объектов коммунальной инфраструктуры (свыше 60%);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недостаточная мощность очистных сооружений канализационной системы в южной части города, приводящая к открытому стоку на рельеф местности и в ручей Грязновка и как следствие к загрязнению почвы и подземных вод.</w:t>
      </w:r>
    </w:p>
    <w:p w:rsidR="00FB3E6F" w:rsidRPr="000B1824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u w:color="FF0000"/>
        </w:rPr>
      </w:pPr>
    </w:p>
    <w:p w:rsidR="00FB3E6F" w:rsidRPr="00811AEB" w:rsidRDefault="00811AEB" w:rsidP="00811AEB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 xml:space="preserve"> </w:t>
      </w:r>
      <w:r w:rsidR="00FB3E6F" w:rsidRPr="00811AEB"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Перспективы социально-экономического развития муниципального образования</w:t>
      </w:r>
    </w:p>
    <w:p w:rsidR="00811AEB" w:rsidRPr="00811AEB" w:rsidRDefault="00811AEB" w:rsidP="00811AEB">
      <w:pPr>
        <w:pStyle w:val="a4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настоящее время и на ближайшую перспективу приоритетными направлениями для города Боготола являются дальнейшее улучшение качества жизни горожан и создание условий для сохранения и развития экономики города.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Для улучшения ситуации в экономике города необходимо освоение новых видов производств (диверсификация экономики).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 xml:space="preserve">Формирование благоприятного инвестиционного климата на территории создаст условия для роста количества предприятий частной формы собственности.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Для сохранения кадрового потенциала действующих предприятий в области обрабатывающего производства необходимо р</w:t>
      </w: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азвитие системы подготовки, переподготовки и повышения квалификации субъектов малого и среднего предпринимательства, их кадрового состава на базе профессиональных общеобразовательных учреждений.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Приоритетом для муниципального образования города Боготол является также развитие инженерной и транспортной инфраструктуры по следующим направлениям: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- строительство, реконструкция и модернизация объектов инженерной инфраструктуры коммунального комплекса территории;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строительство объектов социальной инфраструктуры.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Одним из главных направлений развития инженерной инфраструктуры остается проект строительства очистных сооружений канализации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г.Боготола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«Южные»»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с мощностью 2000 м</w:t>
      </w:r>
      <w:r>
        <w:rPr>
          <w:rFonts w:ascii="Times New Roman CYR" w:hAnsi="Times New Roman CYR" w:cs="Times New Roman CYR"/>
          <w:sz w:val="28"/>
          <w:szCs w:val="28"/>
          <w:u w:color="FF0000"/>
          <w:vertAlign w:val="superscript"/>
        </w:rPr>
        <w:t>3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/сутки.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Необходимо продолжить реализацию программы по переселению граждан из ветхого и аварийного жилья путем строительства многоквартирных жилых домов. 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Следует также отметить социокультурные проекты, реализация которых предполагается в ближайшей перспективе: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завершение работ по приобретению в муниципальную собственность ДК железнодорожников;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завершение реконструкции парка культуры и отдыха;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строительство средней общеобразовательной школы на 550 учащихся в микрорайоне Южный;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строительство физкультурно-оздоровительного комплекса с плавательным бассейном общегородского значения.</w:t>
      </w: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u w:color="FF0000"/>
        </w:rPr>
      </w:pPr>
    </w:p>
    <w:p w:rsidR="00FB3E6F" w:rsidRPr="000626FF" w:rsidRDefault="00FB3E6F" w:rsidP="000626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  <w:u w:color="FF0000"/>
        </w:rPr>
      </w:pPr>
    </w:p>
    <w:p w:rsidR="00FB3E6F" w:rsidRDefault="00FB3E6F" w:rsidP="00FB3E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u w:color="FF0000"/>
        </w:rPr>
      </w:pPr>
      <w:r>
        <w:rPr>
          <w:rFonts w:ascii="Arial" w:hAnsi="Arial" w:cs="Arial"/>
          <w:sz w:val="20"/>
          <w:szCs w:val="20"/>
          <w:u w:color="FF0000"/>
        </w:rPr>
        <w:t xml:space="preserve"> </w:t>
      </w:r>
    </w:p>
    <w:p w:rsidR="00300717" w:rsidRPr="00FB3E6F" w:rsidRDefault="00300717" w:rsidP="00FB3E6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00717" w:rsidRPr="00FB3E6F" w:rsidSect="00824AB9">
      <w:footerReference w:type="default" r:id="rId8"/>
      <w:pgSz w:w="12240" w:h="15840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359" w:rsidRDefault="008B5359" w:rsidP="00824AB9">
      <w:pPr>
        <w:spacing w:after="0" w:line="240" w:lineRule="auto"/>
      </w:pPr>
      <w:r>
        <w:separator/>
      </w:r>
    </w:p>
  </w:endnote>
  <w:endnote w:type="continuationSeparator" w:id="0">
    <w:p w:rsidR="008B5359" w:rsidRDefault="008B5359" w:rsidP="00824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3425128"/>
      <w:docPartObj>
        <w:docPartGallery w:val="Page Numbers (Bottom of Page)"/>
        <w:docPartUnique/>
      </w:docPartObj>
    </w:sdtPr>
    <w:sdtEndPr/>
    <w:sdtContent>
      <w:p w:rsidR="00497D71" w:rsidRDefault="00497D7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7D7">
          <w:rPr>
            <w:noProof/>
          </w:rPr>
          <w:t>22</w:t>
        </w:r>
        <w:r>
          <w:fldChar w:fldCharType="end"/>
        </w:r>
      </w:p>
    </w:sdtContent>
  </w:sdt>
  <w:p w:rsidR="00497D71" w:rsidRDefault="00497D7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359" w:rsidRDefault="008B5359" w:rsidP="00824AB9">
      <w:pPr>
        <w:spacing w:after="0" w:line="240" w:lineRule="auto"/>
      </w:pPr>
      <w:r>
        <w:separator/>
      </w:r>
    </w:p>
  </w:footnote>
  <w:footnote w:type="continuationSeparator" w:id="0">
    <w:p w:rsidR="008B5359" w:rsidRDefault="008B5359" w:rsidP="00824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AFA01F8"/>
    <w:lvl w:ilvl="0">
      <w:numFmt w:val="bullet"/>
      <w:lvlText w:val="*"/>
      <w:lvlJc w:val="left"/>
    </w:lvl>
  </w:abstractNum>
  <w:abstractNum w:abstractNumId="1">
    <w:nsid w:val="07F316E1"/>
    <w:multiLevelType w:val="singleLevel"/>
    <w:tmpl w:val="D9E47ABA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hint="default"/>
      </w:rPr>
    </w:lvl>
  </w:abstractNum>
  <w:abstractNum w:abstractNumId="2">
    <w:nsid w:val="1C005E1F"/>
    <w:multiLevelType w:val="multilevel"/>
    <w:tmpl w:val="CF965D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abstractNum w:abstractNumId="3">
    <w:nsid w:val="326A4EB2"/>
    <w:multiLevelType w:val="multilevel"/>
    <w:tmpl w:val="AF5870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0DB2A40"/>
    <w:multiLevelType w:val="hybridMultilevel"/>
    <w:tmpl w:val="4D3C7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77335A"/>
    <w:multiLevelType w:val="multilevel"/>
    <w:tmpl w:val="6220E1A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6">
    <w:nsid w:val="69ED04C3"/>
    <w:multiLevelType w:val="singleLevel"/>
    <w:tmpl w:val="9782021A"/>
    <w:lvl w:ilvl="0">
      <w:start w:val="1"/>
      <w:numFmt w:val="decimal"/>
      <w:lvlText w:val="%1)"/>
      <w:legacy w:legacy="1" w:legacySpace="0" w:legacyIndent="0"/>
      <w:lvlJc w:val="left"/>
      <w:rPr>
        <w:rFonts w:ascii="Times New Roman CYR" w:hAnsi="Times New Roman CYR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920"/>
    <w:rsid w:val="00017BD9"/>
    <w:rsid w:val="000228FB"/>
    <w:rsid w:val="00027ED1"/>
    <w:rsid w:val="00034E4D"/>
    <w:rsid w:val="000626FF"/>
    <w:rsid w:val="000B1824"/>
    <w:rsid w:val="000D0465"/>
    <w:rsid w:val="000E04AE"/>
    <w:rsid w:val="00194B6E"/>
    <w:rsid w:val="001A34C2"/>
    <w:rsid w:val="001D1112"/>
    <w:rsid w:val="001D1FD5"/>
    <w:rsid w:val="00281088"/>
    <w:rsid w:val="002F2A55"/>
    <w:rsid w:val="00300717"/>
    <w:rsid w:val="003439A6"/>
    <w:rsid w:val="003635DD"/>
    <w:rsid w:val="003C1DEA"/>
    <w:rsid w:val="00406581"/>
    <w:rsid w:val="0043362F"/>
    <w:rsid w:val="004357CD"/>
    <w:rsid w:val="004427FF"/>
    <w:rsid w:val="00497D71"/>
    <w:rsid w:val="004B5234"/>
    <w:rsid w:val="005175A3"/>
    <w:rsid w:val="00567C51"/>
    <w:rsid w:val="005974A8"/>
    <w:rsid w:val="005A38C4"/>
    <w:rsid w:val="00603110"/>
    <w:rsid w:val="00624575"/>
    <w:rsid w:val="006B1BDC"/>
    <w:rsid w:val="006D0370"/>
    <w:rsid w:val="007034EA"/>
    <w:rsid w:val="00741146"/>
    <w:rsid w:val="007562ED"/>
    <w:rsid w:val="00794040"/>
    <w:rsid w:val="00797570"/>
    <w:rsid w:val="007C6264"/>
    <w:rsid w:val="007F1D6C"/>
    <w:rsid w:val="00811AEB"/>
    <w:rsid w:val="00824AB9"/>
    <w:rsid w:val="00872C04"/>
    <w:rsid w:val="008934CE"/>
    <w:rsid w:val="008B5359"/>
    <w:rsid w:val="008F020E"/>
    <w:rsid w:val="008F0218"/>
    <w:rsid w:val="00951847"/>
    <w:rsid w:val="009A1920"/>
    <w:rsid w:val="009B0A7D"/>
    <w:rsid w:val="009B446C"/>
    <w:rsid w:val="009B6E53"/>
    <w:rsid w:val="009C48B8"/>
    <w:rsid w:val="009D674E"/>
    <w:rsid w:val="00A44375"/>
    <w:rsid w:val="00A73F31"/>
    <w:rsid w:val="00A77B3D"/>
    <w:rsid w:val="00A96A48"/>
    <w:rsid w:val="00B53A57"/>
    <w:rsid w:val="00BB7846"/>
    <w:rsid w:val="00BE3FC6"/>
    <w:rsid w:val="00C913B4"/>
    <w:rsid w:val="00D662A2"/>
    <w:rsid w:val="00DA3C99"/>
    <w:rsid w:val="00DC07D7"/>
    <w:rsid w:val="00DD119C"/>
    <w:rsid w:val="00DF67E8"/>
    <w:rsid w:val="00E176F9"/>
    <w:rsid w:val="00E711F8"/>
    <w:rsid w:val="00E81C42"/>
    <w:rsid w:val="00E92571"/>
    <w:rsid w:val="00F12BA6"/>
    <w:rsid w:val="00F455D0"/>
    <w:rsid w:val="00F61F31"/>
    <w:rsid w:val="00F7358A"/>
    <w:rsid w:val="00FA1DC9"/>
    <w:rsid w:val="00FB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178639-7425-4A32-BEF2-72B15C032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3E6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D674E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824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4AB9"/>
  </w:style>
  <w:style w:type="paragraph" w:styleId="a7">
    <w:name w:val="footer"/>
    <w:basedOn w:val="a"/>
    <w:link w:val="a8"/>
    <w:uiPriority w:val="99"/>
    <w:unhideWhenUsed/>
    <w:rsid w:val="00824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4AB9"/>
  </w:style>
  <w:style w:type="paragraph" w:styleId="a9">
    <w:name w:val="Balloon Text"/>
    <w:basedOn w:val="a"/>
    <w:link w:val="aa"/>
    <w:uiPriority w:val="99"/>
    <w:semiHidden/>
    <w:unhideWhenUsed/>
    <w:rsid w:val="00497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7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7%D1%83%D0%BB%D1%8B%D0%BC_(%D0%BF%D1%80%D0%B8%D1%82%D0%BE%D0%BA_%D0%9E%D0%B1%D0%B8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41</Pages>
  <Words>13069</Words>
  <Characters>74498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Dmitrochenko OA</dc:creator>
  <cp:keywords/>
  <dc:description/>
  <cp:lastModifiedBy>Dmitrochenko OA</cp:lastModifiedBy>
  <cp:revision>56</cp:revision>
  <cp:lastPrinted>2018-10-25T08:43:00Z</cp:lastPrinted>
  <dcterms:created xsi:type="dcterms:W3CDTF">2018-10-24T02:45:00Z</dcterms:created>
  <dcterms:modified xsi:type="dcterms:W3CDTF">2018-10-26T01:38:00Z</dcterms:modified>
</cp:coreProperties>
</file>