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FB" w:rsidRDefault="001177FB" w:rsidP="001177FB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FB" w:rsidRDefault="001177FB" w:rsidP="001177F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177FB" w:rsidRDefault="001177FB" w:rsidP="001177F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177FB" w:rsidRDefault="001177FB" w:rsidP="001177F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177FB" w:rsidRDefault="001177FB" w:rsidP="001177FB">
      <w:pPr>
        <w:jc w:val="center"/>
        <w:rPr>
          <w:b/>
          <w:sz w:val="28"/>
        </w:rPr>
      </w:pPr>
    </w:p>
    <w:p w:rsidR="001177FB" w:rsidRDefault="001177FB" w:rsidP="001177FB">
      <w:pPr>
        <w:jc w:val="center"/>
        <w:rPr>
          <w:b/>
          <w:sz w:val="28"/>
        </w:rPr>
      </w:pPr>
    </w:p>
    <w:p w:rsidR="001177FB" w:rsidRDefault="001177FB" w:rsidP="001177F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177FB" w:rsidRDefault="001177FB" w:rsidP="001177FB">
      <w:pPr>
        <w:jc w:val="both"/>
        <w:rPr>
          <w:b/>
          <w:sz w:val="32"/>
        </w:rPr>
      </w:pPr>
    </w:p>
    <w:p w:rsidR="001177FB" w:rsidRDefault="001177FB" w:rsidP="001177FB">
      <w:pPr>
        <w:jc w:val="both"/>
        <w:rPr>
          <w:b/>
          <w:sz w:val="32"/>
        </w:rPr>
      </w:pPr>
    </w:p>
    <w:p w:rsidR="001177FB" w:rsidRDefault="001177FB" w:rsidP="001177FB">
      <w:pPr>
        <w:rPr>
          <w:b/>
          <w:sz w:val="32"/>
        </w:rPr>
      </w:pPr>
      <w:r>
        <w:rPr>
          <w:b/>
          <w:sz w:val="32"/>
        </w:rPr>
        <w:t xml:space="preserve">«  </w:t>
      </w:r>
      <w:r w:rsidR="00A75F30">
        <w:rPr>
          <w:b/>
          <w:sz w:val="32"/>
        </w:rPr>
        <w:t>19</w:t>
      </w:r>
      <w:r>
        <w:rPr>
          <w:b/>
          <w:sz w:val="32"/>
        </w:rPr>
        <w:t xml:space="preserve"> » ___</w:t>
      </w:r>
      <w:r w:rsidR="00A75F30" w:rsidRPr="00A75F30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  </w:t>
      </w:r>
      <w:r w:rsidR="00A75F30">
        <w:rPr>
          <w:b/>
          <w:sz w:val="32"/>
        </w:rPr>
        <w:t xml:space="preserve"> </w:t>
      </w:r>
      <w:r>
        <w:rPr>
          <w:b/>
          <w:sz w:val="32"/>
        </w:rPr>
        <w:t>г. Боготол                             №</w:t>
      </w:r>
      <w:r w:rsidR="00A75F30">
        <w:rPr>
          <w:b/>
          <w:sz w:val="32"/>
        </w:rPr>
        <w:t xml:space="preserve"> 0830-п</w:t>
      </w:r>
    </w:p>
    <w:p w:rsidR="001177FB" w:rsidRDefault="001177F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7FB" w:rsidRDefault="001177F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Об утверждении </w:t>
      </w:r>
      <w:r w:rsidR="009A4D64" w:rsidRPr="00B95FEB">
        <w:rPr>
          <w:sz w:val="28"/>
          <w:szCs w:val="28"/>
        </w:rPr>
        <w:t>Программ</w:t>
      </w:r>
      <w:r w:rsidR="009A4D64">
        <w:rPr>
          <w:sz w:val="28"/>
          <w:szCs w:val="28"/>
        </w:rPr>
        <w:t>ы</w:t>
      </w:r>
      <w:r w:rsidR="009A4D64"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 w:rsidR="009A4D64">
        <w:rPr>
          <w:sz w:val="28"/>
          <w:szCs w:val="28"/>
        </w:rPr>
        <w:t xml:space="preserve"> </w:t>
      </w:r>
      <w:r w:rsidR="001177FB">
        <w:rPr>
          <w:sz w:val="28"/>
          <w:szCs w:val="28"/>
        </w:rPr>
        <w:t>на                      2023-2025 годы</w:t>
      </w:r>
      <w:r w:rsidR="009A4D64" w:rsidRPr="00B95FEB">
        <w:rPr>
          <w:sz w:val="28"/>
          <w:szCs w:val="28"/>
        </w:rPr>
        <w:t xml:space="preserve"> </w:t>
      </w:r>
    </w:p>
    <w:p w:rsidR="001177FB" w:rsidRDefault="001177FB" w:rsidP="001177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7FB" w:rsidRDefault="001177FB" w:rsidP="001177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7FB" w:rsidRDefault="00B95FEB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</w:t>
      </w:r>
      <w:r w:rsidRPr="009A4D64">
        <w:rPr>
          <w:sz w:val="28"/>
          <w:szCs w:val="28"/>
        </w:rPr>
        <w:t>установленных в нарушение определенного правовыми актами города порядка временных объектов, в соответствии с</w:t>
      </w:r>
      <w:r w:rsidR="001177FB">
        <w:rPr>
          <w:sz w:val="28"/>
          <w:szCs w:val="28"/>
        </w:rPr>
        <w:t>о</w:t>
      </w:r>
      <w:r w:rsidRPr="009A4D64">
        <w:rPr>
          <w:sz w:val="28"/>
          <w:szCs w:val="28"/>
        </w:rPr>
        <w:t xml:space="preserve"> ст. 46</w:t>
      </w:r>
      <w:r w:rsidR="009A4D64" w:rsidRPr="009A4D64">
        <w:rPr>
          <w:sz w:val="28"/>
          <w:szCs w:val="28"/>
        </w:rPr>
        <w:t xml:space="preserve"> Федеральн</w:t>
      </w:r>
      <w:r w:rsidR="009A4D64">
        <w:rPr>
          <w:sz w:val="28"/>
          <w:szCs w:val="28"/>
        </w:rPr>
        <w:t>ого</w:t>
      </w:r>
      <w:r w:rsidR="009A4D64" w:rsidRPr="009A4D64">
        <w:rPr>
          <w:sz w:val="28"/>
          <w:szCs w:val="28"/>
        </w:rPr>
        <w:t xml:space="preserve"> закон</w:t>
      </w:r>
      <w:r w:rsidR="009A4D64">
        <w:rPr>
          <w:sz w:val="28"/>
          <w:szCs w:val="28"/>
        </w:rPr>
        <w:t>а</w:t>
      </w:r>
      <w:r w:rsidR="009A4D64" w:rsidRPr="009A4D64">
        <w:rPr>
          <w:sz w:val="28"/>
          <w:szCs w:val="28"/>
        </w:rPr>
        <w:t xml:space="preserve"> от 31.07.2020 </w:t>
      </w:r>
      <w:r w:rsidR="001177FB">
        <w:rPr>
          <w:sz w:val="28"/>
          <w:szCs w:val="28"/>
        </w:rPr>
        <w:t>№ 248-ФЗ «</w:t>
      </w:r>
      <w:r w:rsidR="009A4D64" w:rsidRPr="009A4D6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177FB">
        <w:rPr>
          <w:sz w:val="28"/>
          <w:szCs w:val="28"/>
        </w:rPr>
        <w:t>»</w:t>
      </w:r>
      <w:r w:rsidR="00082310">
        <w:rPr>
          <w:sz w:val="28"/>
          <w:szCs w:val="28"/>
        </w:rPr>
        <w:t xml:space="preserve">, </w:t>
      </w:r>
      <w:r w:rsidR="00082310" w:rsidRPr="00082310">
        <w:rPr>
          <w:sz w:val="28"/>
          <w:szCs w:val="28"/>
        </w:rPr>
        <w:t>Постановлением Правительства РФ от 25</w:t>
      </w:r>
      <w:r w:rsidR="001177FB">
        <w:rPr>
          <w:sz w:val="28"/>
          <w:szCs w:val="28"/>
        </w:rPr>
        <w:t>.06.</w:t>
      </w:r>
      <w:r w:rsidR="00082310" w:rsidRPr="00082310">
        <w:rPr>
          <w:sz w:val="28"/>
          <w:szCs w:val="28"/>
        </w:rPr>
        <w:t>2021 №</w:t>
      </w:r>
      <w:r w:rsidR="001177FB">
        <w:rPr>
          <w:sz w:val="28"/>
          <w:szCs w:val="28"/>
        </w:rPr>
        <w:t xml:space="preserve"> </w:t>
      </w:r>
      <w:r w:rsidR="00082310" w:rsidRPr="00082310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4D64">
        <w:rPr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1177FB" w:rsidRDefault="00B95FEB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1. Утвердить </w:t>
      </w:r>
      <w:r w:rsidRPr="00B95FE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 w:rsidR="009A4D64">
        <w:rPr>
          <w:sz w:val="28"/>
          <w:szCs w:val="28"/>
        </w:rPr>
        <w:t xml:space="preserve"> </w:t>
      </w:r>
      <w:r w:rsidRPr="00B95FEB">
        <w:rPr>
          <w:sz w:val="28"/>
          <w:szCs w:val="28"/>
        </w:rPr>
        <w:t xml:space="preserve">на </w:t>
      </w:r>
      <w:r w:rsidR="001177FB">
        <w:rPr>
          <w:sz w:val="28"/>
          <w:szCs w:val="28"/>
        </w:rPr>
        <w:t xml:space="preserve">               2023-2025 годы, согласно приложению к настоящему постановлению.</w:t>
      </w:r>
    </w:p>
    <w:p w:rsidR="001177FB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FEB" w:rsidRPr="00DC1275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r w:rsidR="00B95FEB" w:rsidRPr="00DC1275">
        <w:rPr>
          <w:sz w:val="28"/>
          <w:szCs w:val="28"/>
          <w:u w:val="single"/>
          <w:lang w:val="en-US"/>
        </w:rPr>
        <w:t>www</w:t>
      </w:r>
      <w:r w:rsidR="00B95FEB" w:rsidRPr="00DC1275">
        <w:rPr>
          <w:sz w:val="28"/>
          <w:szCs w:val="28"/>
          <w:u w:val="single"/>
        </w:rPr>
        <w:t>.</w:t>
      </w:r>
      <w:r w:rsidR="00B95FEB" w:rsidRPr="00DC1275">
        <w:rPr>
          <w:sz w:val="28"/>
          <w:szCs w:val="28"/>
          <w:u w:val="single"/>
          <w:lang w:val="en-US"/>
        </w:rPr>
        <w:t>bogotolcity</w:t>
      </w:r>
      <w:r w:rsidR="00B95FEB" w:rsidRPr="00DC1275">
        <w:rPr>
          <w:sz w:val="28"/>
          <w:szCs w:val="28"/>
          <w:u w:val="single"/>
        </w:rPr>
        <w:t>.</w:t>
      </w:r>
      <w:r w:rsidR="00B95FEB" w:rsidRPr="00DC1275">
        <w:rPr>
          <w:sz w:val="28"/>
          <w:szCs w:val="28"/>
          <w:u w:val="single"/>
          <w:lang w:val="en-US"/>
        </w:rPr>
        <w:t>ru</w:t>
      </w:r>
      <w:r w:rsidR="00B95FEB" w:rsidRPr="00DC1275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1177FB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FEB" w:rsidRPr="00DC1275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95FEB" w:rsidRPr="00DC1275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95FEB" w:rsidRPr="00DC1275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177FB" w:rsidRDefault="001177FB" w:rsidP="00B95FEB">
      <w:pPr>
        <w:jc w:val="both"/>
        <w:rPr>
          <w:sz w:val="28"/>
          <w:szCs w:val="28"/>
        </w:rPr>
      </w:pPr>
    </w:p>
    <w:p w:rsidR="001177FB" w:rsidRDefault="001177FB" w:rsidP="00B95FEB">
      <w:pPr>
        <w:jc w:val="both"/>
        <w:rPr>
          <w:sz w:val="28"/>
          <w:szCs w:val="28"/>
        </w:rPr>
      </w:pPr>
    </w:p>
    <w:p w:rsidR="00B95FEB" w:rsidRPr="00DC1275" w:rsidRDefault="00B95FEB" w:rsidP="00B95FEB">
      <w:pPr>
        <w:jc w:val="both"/>
        <w:rPr>
          <w:sz w:val="20"/>
          <w:szCs w:val="20"/>
        </w:rPr>
      </w:pPr>
      <w:r w:rsidRPr="00DC1275">
        <w:rPr>
          <w:sz w:val="28"/>
          <w:szCs w:val="28"/>
        </w:rPr>
        <w:t xml:space="preserve">Глава города Боготола                                                      </w:t>
      </w:r>
      <w:r>
        <w:rPr>
          <w:sz w:val="28"/>
          <w:szCs w:val="28"/>
        </w:rPr>
        <w:t xml:space="preserve">   </w:t>
      </w:r>
      <w:r w:rsidR="001177FB">
        <w:rPr>
          <w:sz w:val="28"/>
          <w:szCs w:val="28"/>
        </w:rPr>
        <w:t xml:space="preserve">       </w:t>
      </w:r>
      <w:r w:rsidRPr="00DC1275">
        <w:rPr>
          <w:sz w:val="28"/>
          <w:szCs w:val="28"/>
        </w:rPr>
        <w:t xml:space="preserve">  Е.М. Деменкова</w:t>
      </w: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tabs>
          <w:tab w:val="left" w:pos="1650"/>
        </w:tabs>
        <w:contextualSpacing/>
      </w:pPr>
      <w:r>
        <w:t>Рогозная Елена Антоновна</w:t>
      </w:r>
    </w:p>
    <w:p w:rsidR="00B95FEB" w:rsidRPr="00DC1275" w:rsidRDefault="00B95FEB" w:rsidP="00B95FEB">
      <w:pPr>
        <w:tabs>
          <w:tab w:val="left" w:pos="1650"/>
        </w:tabs>
        <w:contextualSpacing/>
        <w:rPr>
          <w:sz w:val="20"/>
          <w:szCs w:val="20"/>
        </w:rPr>
      </w:pPr>
      <w:r w:rsidRPr="00DC1275">
        <w:rPr>
          <w:sz w:val="20"/>
          <w:szCs w:val="20"/>
        </w:rPr>
        <w:t>6-34-0</w:t>
      </w:r>
      <w:r>
        <w:rPr>
          <w:sz w:val="20"/>
          <w:szCs w:val="20"/>
        </w:rPr>
        <w:t>5</w:t>
      </w:r>
    </w:p>
    <w:p w:rsidR="00B95FEB" w:rsidRPr="00DC1275" w:rsidRDefault="001177FB" w:rsidP="00B95FEB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95FEB">
        <w:rPr>
          <w:sz w:val="20"/>
          <w:szCs w:val="20"/>
        </w:rPr>
        <w:t xml:space="preserve"> </w:t>
      </w:r>
      <w:r w:rsidR="00B95FEB" w:rsidRPr="00DC1275">
        <w:rPr>
          <w:sz w:val="20"/>
          <w:szCs w:val="20"/>
        </w:rPr>
        <w:t>экз.</w:t>
      </w:r>
    </w:p>
    <w:p w:rsidR="00494DD5" w:rsidRDefault="00494DD5" w:rsidP="00494DD5">
      <w:pPr>
        <w:rPr>
          <w:color w:val="000000" w:themeColor="text1"/>
        </w:rPr>
      </w:pP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bookmarkStart w:id="0" w:name="_GoBack"/>
      <w:bookmarkEnd w:id="0"/>
      <w:r w:rsidRPr="00DC1275">
        <w:rPr>
          <w:sz w:val="28"/>
          <w:szCs w:val="28"/>
        </w:rPr>
        <w:t>к постановлению администрации</w:t>
      </w: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города Боготола</w:t>
      </w:r>
    </w:p>
    <w:p w:rsidR="00B95FEB" w:rsidRPr="00A75F30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1177FB">
        <w:rPr>
          <w:sz w:val="28"/>
          <w:szCs w:val="28"/>
        </w:rPr>
        <w:t>_</w:t>
      </w:r>
      <w:r w:rsidR="00A75F30" w:rsidRPr="00A75F30">
        <w:rPr>
          <w:sz w:val="28"/>
          <w:szCs w:val="28"/>
          <w:u w:val="single"/>
        </w:rPr>
        <w:t>19</w:t>
      </w:r>
      <w:r w:rsidR="001177FB">
        <w:rPr>
          <w:sz w:val="28"/>
          <w:szCs w:val="28"/>
        </w:rPr>
        <w:t>_» _</w:t>
      </w:r>
      <w:r w:rsidR="00A75F30" w:rsidRPr="00A75F30">
        <w:rPr>
          <w:sz w:val="28"/>
          <w:szCs w:val="28"/>
          <w:u w:val="single"/>
        </w:rPr>
        <w:t>07</w:t>
      </w:r>
      <w:r w:rsidR="001177FB">
        <w:rPr>
          <w:sz w:val="28"/>
          <w:szCs w:val="28"/>
        </w:rPr>
        <w:t xml:space="preserve">_ 2023 г. № </w:t>
      </w:r>
      <w:r w:rsidR="00A75F30" w:rsidRPr="00A75F30">
        <w:rPr>
          <w:sz w:val="28"/>
          <w:szCs w:val="28"/>
          <w:u w:val="single"/>
        </w:rPr>
        <w:t>0830-п</w:t>
      </w:r>
      <w:r w:rsidRPr="00A75F30">
        <w:rPr>
          <w:sz w:val="28"/>
          <w:szCs w:val="28"/>
          <w:u w:val="single"/>
        </w:rPr>
        <w:t xml:space="preserve"> </w:t>
      </w:r>
    </w:p>
    <w:p w:rsidR="001177FB" w:rsidRDefault="001177FB" w:rsidP="00EC1AE9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P34"/>
      <w:bookmarkEnd w:id="1"/>
    </w:p>
    <w:p w:rsidR="001177FB" w:rsidRDefault="001177FB" w:rsidP="00EC1AE9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1177FB">
        <w:rPr>
          <w:bCs/>
          <w:color w:val="000000" w:themeColor="text1"/>
          <w:sz w:val="28"/>
          <w:szCs w:val="28"/>
        </w:rPr>
        <w:t>П</w:t>
      </w:r>
      <w:r w:rsidRPr="001177FB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EC1AE9" w:rsidRDefault="00494DD5" w:rsidP="001177FB">
      <w:pPr>
        <w:jc w:val="both"/>
        <w:rPr>
          <w:color w:val="000000" w:themeColor="text1"/>
          <w:sz w:val="28"/>
          <w:szCs w:val="28"/>
        </w:rPr>
      </w:pPr>
      <w:r w:rsidRPr="001177FB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1177FB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177FB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1177FB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143B5" w:rsidRPr="001177FB">
        <w:rPr>
          <w:bCs/>
          <w:color w:val="000000" w:themeColor="text1"/>
          <w:sz w:val="28"/>
          <w:szCs w:val="28"/>
        </w:rPr>
        <w:t>города Боготола</w:t>
      </w:r>
      <w:r w:rsidR="001177FB">
        <w:rPr>
          <w:bCs/>
          <w:color w:val="000000" w:themeColor="text1"/>
          <w:sz w:val="28"/>
          <w:szCs w:val="28"/>
        </w:rPr>
        <w:t xml:space="preserve"> </w:t>
      </w:r>
      <w:r w:rsidR="001C237A" w:rsidRPr="001177FB">
        <w:rPr>
          <w:bCs/>
          <w:color w:val="000000" w:themeColor="text1"/>
          <w:sz w:val="28"/>
          <w:szCs w:val="28"/>
        </w:rPr>
        <w:t>на 202</w:t>
      </w:r>
      <w:r w:rsidR="001143B5" w:rsidRPr="001177FB">
        <w:rPr>
          <w:bCs/>
          <w:color w:val="000000" w:themeColor="text1"/>
          <w:sz w:val="28"/>
          <w:szCs w:val="28"/>
        </w:rPr>
        <w:t>3-2025</w:t>
      </w:r>
      <w:r w:rsidR="001C237A" w:rsidRPr="001177FB">
        <w:rPr>
          <w:bCs/>
          <w:color w:val="000000" w:themeColor="text1"/>
          <w:sz w:val="28"/>
          <w:szCs w:val="28"/>
        </w:rPr>
        <w:t xml:space="preserve"> год</w:t>
      </w:r>
      <w:r w:rsidR="001177FB">
        <w:rPr>
          <w:bCs/>
          <w:color w:val="000000" w:themeColor="text1"/>
          <w:sz w:val="28"/>
          <w:szCs w:val="28"/>
        </w:rPr>
        <w:t>ы</w:t>
      </w:r>
      <w:r w:rsidR="001C237A" w:rsidRPr="001177FB">
        <w:rPr>
          <w:bCs/>
          <w:color w:val="000000" w:themeColor="text1"/>
          <w:sz w:val="28"/>
          <w:szCs w:val="28"/>
        </w:rPr>
        <w:t xml:space="preserve"> </w:t>
      </w:r>
      <w:r w:rsidR="001C237A" w:rsidRPr="001177FB">
        <w:rPr>
          <w:color w:val="000000" w:themeColor="text1"/>
          <w:sz w:val="28"/>
          <w:szCs w:val="28"/>
        </w:rPr>
        <w:t xml:space="preserve"> </w:t>
      </w:r>
    </w:p>
    <w:p w:rsidR="001177FB" w:rsidRDefault="001177FB" w:rsidP="00117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177FB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C5E25">
        <w:rPr>
          <w:color w:val="000000" w:themeColor="text1"/>
          <w:sz w:val="28"/>
          <w:szCs w:val="28"/>
        </w:rPr>
        <w:t>Боготола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3C5E25">
        <w:rPr>
          <w:color w:val="000000" w:themeColor="text1"/>
          <w:sz w:val="28"/>
          <w:szCs w:val="28"/>
        </w:rPr>
        <w:t xml:space="preserve">3 </w:t>
      </w:r>
      <w:r w:rsidR="00EC1AE9">
        <w:rPr>
          <w:color w:val="000000" w:themeColor="text1"/>
          <w:sz w:val="28"/>
          <w:szCs w:val="28"/>
        </w:rPr>
        <w:t>год (далее также – Программа</w:t>
      </w:r>
      <w:r w:rsidR="003C5E25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1177FB" w:rsidRDefault="00494DD5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3C5E25" w:rsidRDefault="00494DD5" w:rsidP="003C5E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C5E25">
        <w:rPr>
          <w:color w:val="000000"/>
          <w:sz w:val="28"/>
          <w:szCs w:val="28"/>
        </w:rPr>
        <w:t>города Боготола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1143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177FB" w:rsidRDefault="00494DD5" w:rsidP="001177F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81227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D81227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 w:rsidRPr="00D81227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D81227"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 w:rsidRPr="00D81227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D81227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</w:t>
      </w:r>
      <w:r w:rsidRPr="00D8122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81227">
        <w:rPr>
          <w:color w:val="000000"/>
          <w:sz w:val="28"/>
          <w:szCs w:val="28"/>
        </w:rPr>
        <w:t xml:space="preserve">Администрацией </w:t>
      </w:r>
      <w:r w:rsidR="003C5E25" w:rsidRPr="00D81227">
        <w:rPr>
          <w:color w:val="000000"/>
          <w:sz w:val="28"/>
          <w:szCs w:val="28"/>
        </w:rPr>
        <w:t xml:space="preserve">города Боготола </w:t>
      </w:r>
      <w:r w:rsidRPr="00D81227">
        <w:rPr>
          <w:color w:val="000000"/>
          <w:sz w:val="28"/>
          <w:szCs w:val="28"/>
        </w:rPr>
        <w:t xml:space="preserve">(далее также – </w:t>
      </w:r>
      <w:r w:rsidR="00D53E14" w:rsidRPr="00D81227">
        <w:rPr>
          <w:color w:val="000000"/>
          <w:sz w:val="28"/>
          <w:szCs w:val="28"/>
        </w:rPr>
        <w:t xml:space="preserve">Администрация </w:t>
      </w:r>
      <w:r w:rsidRPr="00D81227">
        <w:rPr>
          <w:color w:val="000000"/>
          <w:sz w:val="28"/>
          <w:szCs w:val="28"/>
        </w:rPr>
        <w:t xml:space="preserve">или контрольный орган) </w:t>
      </w:r>
      <w:r w:rsidRPr="00D81227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D81227">
        <w:rPr>
          <w:color w:val="000000" w:themeColor="text1"/>
          <w:sz w:val="28"/>
          <w:szCs w:val="28"/>
        </w:rPr>
        <w:t>.</w:t>
      </w:r>
    </w:p>
    <w:p w:rsidR="001177FB" w:rsidRDefault="001143B5" w:rsidP="001177FB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1E1AA1">
        <w:rPr>
          <w:sz w:val="28"/>
          <w:szCs w:val="28"/>
          <w:lang w:eastAsia="ar-SA"/>
        </w:rPr>
        <w:t xml:space="preserve">Проверки муниципального контроля в сфере благоустройства на </w:t>
      </w:r>
      <w:r>
        <w:rPr>
          <w:sz w:val="28"/>
          <w:szCs w:val="28"/>
          <w:lang w:eastAsia="ar-SA"/>
        </w:rPr>
        <w:t xml:space="preserve">2022 год в отношении юридических лиц и индивидуальных предпринимателей </w:t>
      </w:r>
      <w:r w:rsidRPr="001E1AA1">
        <w:rPr>
          <w:sz w:val="28"/>
          <w:szCs w:val="28"/>
          <w:lang w:eastAsia="ar-SA"/>
        </w:rPr>
        <w:t xml:space="preserve">не планировались, основания для проведения внеплановых проверок отсутствовали, таким образом, проверки в </w:t>
      </w:r>
      <w:r>
        <w:rPr>
          <w:sz w:val="28"/>
          <w:szCs w:val="28"/>
          <w:lang w:eastAsia="ar-SA"/>
        </w:rPr>
        <w:t>2022</w:t>
      </w:r>
      <w:r w:rsidRPr="001E1AA1">
        <w:rPr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1177FB" w:rsidRDefault="001143B5" w:rsidP="00976235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отношении физических лиц за нарушение Правил Благоустройства города Боготола, по</w:t>
      </w:r>
      <w:r w:rsidRPr="00846022">
        <w:rPr>
          <w:sz w:val="28"/>
          <w:szCs w:val="28"/>
          <w:lang w:eastAsia="ar-SA"/>
        </w:rPr>
        <w:t xml:space="preserve"> п. 1 ст. 5.1 Закона Красноярского края от 02.10.2008 № 7-2161 «Об административных правонарушениях», составлено 15 протоколов назначено административное наказание в виде штрафа в размере 1500 руб., 1 протокол – прекращен по истечении срока давности привлечения к административной </w:t>
      </w:r>
      <w:r w:rsidRPr="00D81227">
        <w:rPr>
          <w:sz w:val="28"/>
          <w:szCs w:val="28"/>
          <w:lang w:eastAsia="ar-SA"/>
        </w:rPr>
        <w:t>ответственности п. 6 ч. 1 ст. 24.5 КоАП РФ.</w:t>
      </w:r>
    </w:p>
    <w:p w:rsidR="001177FB" w:rsidRDefault="00494DD5" w:rsidP="001177FB">
      <w:pPr>
        <w:shd w:val="clear" w:color="auto" w:fill="FFFFFF"/>
        <w:ind w:firstLine="709"/>
        <w:jc w:val="both"/>
        <w:rPr>
          <w:sz w:val="28"/>
          <w:szCs w:val="28"/>
        </w:rPr>
      </w:pPr>
      <w:r w:rsidRPr="00D81227">
        <w:rPr>
          <w:sz w:val="28"/>
          <w:szCs w:val="28"/>
        </w:rPr>
        <w:t xml:space="preserve">1.3. К проблемам, на решение которых направлена </w:t>
      </w:r>
      <w:r w:rsidR="00976235" w:rsidRPr="00D81227">
        <w:rPr>
          <w:sz w:val="28"/>
          <w:szCs w:val="28"/>
        </w:rPr>
        <w:t xml:space="preserve">Программа </w:t>
      </w:r>
      <w:r w:rsidRPr="00D81227">
        <w:rPr>
          <w:sz w:val="28"/>
          <w:szCs w:val="28"/>
        </w:rPr>
        <w:t>профилактики, относятся случаи:</w:t>
      </w:r>
    </w:p>
    <w:p w:rsidR="00494DD5" w:rsidRPr="00D81227" w:rsidRDefault="00494DD5" w:rsidP="001177FB">
      <w:pPr>
        <w:shd w:val="clear" w:color="auto" w:fill="FFFFFF"/>
        <w:ind w:firstLine="709"/>
        <w:jc w:val="both"/>
        <w:rPr>
          <w:sz w:val="28"/>
          <w:szCs w:val="28"/>
        </w:rPr>
      </w:pPr>
      <w:r w:rsidRPr="00D81227">
        <w:rPr>
          <w:sz w:val="28"/>
          <w:szCs w:val="28"/>
        </w:rPr>
        <w:t xml:space="preserve">1) ненадлежащего содержания прилегающих территорий; </w:t>
      </w:r>
    </w:p>
    <w:p w:rsidR="00494DD5" w:rsidRPr="00D81227" w:rsidRDefault="001143B5" w:rsidP="007A0519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D81227">
        <w:rPr>
          <w:rFonts w:ascii="Times New Roman" w:hAnsi="Times New Roman" w:cs="Times New Roman"/>
          <w:sz w:val="28"/>
          <w:szCs w:val="28"/>
        </w:rPr>
        <w:t>2</w:t>
      </w:r>
      <w:r w:rsidR="00494DD5" w:rsidRPr="00D81227">
        <w:rPr>
          <w:rFonts w:ascii="Times New Roman" w:hAnsi="Times New Roman" w:cs="Times New Roman"/>
          <w:sz w:val="28"/>
          <w:szCs w:val="28"/>
        </w:rPr>
        <w:t>)</w:t>
      </w:r>
      <w:r w:rsidRPr="00D81227">
        <w:t xml:space="preserve"> </w:t>
      </w:r>
      <w:r w:rsidRPr="00D81227">
        <w:rPr>
          <w:rFonts w:ascii="Times New Roman" w:hAnsi="Times New Roman" w:cs="Times New Roman"/>
          <w:sz w:val="28"/>
          <w:szCs w:val="28"/>
        </w:rPr>
        <w:t>сброса мусора, шлака, слив жидких бытовых отходов и иных отходов производства и потребления вне специально отведенных для этого мест, захламление, загрязнение территорий общего пользования</w:t>
      </w:r>
      <w:r w:rsidR="00494DD5" w:rsidRPr="00D81227">
        <w:rPr>
          <w:rFonts w:ascii="Times New Roman" w:hAnsi="Times New Roman" w:cs="Times New Roman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2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причинами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1177FB" w:rsidRDefault="001177FB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1177FB" w:rsidRDefault="001177FB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494DD5" w:rsidRDefault="00494DD5" w:rsidP="001177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0" w:type="dxa"/>
        <w:jc w:val="center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092"/>
      </w:tblGrid>
      <w:tr w:rsidR="00494DD5" w:rsidTr="001177FB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7FB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 реализацию мероприятия исполнитель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81227" w:rsidRDefault="00D81227" w:rsidP="00D81227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Pr="00D81227" w:rsidRDefault="00D81227" w:rsidP="00D81227">
            <w:pPr>
              <w:rPr>
                <w:color w:val="000000" w:themeColor="text1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t>2. Р</w:t>
            </w:r>
            <w:r w:rsidRPr="00D81227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81227" w:rsidRP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P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81227" w:rsidRP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P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Pr="00D81227" w:rsidRDefault="00D81227" w:rsidP="00D81227">
            <w:pPr>
              <w:rPr>
                <w:color w:val="000000"/>
                <w:shd w:val="clear" w:color="auto" w:fill="FFFFFF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t>3. Р</w:t>
            </w:r>
            <w:r w:rsidRPr="00D81227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D81227">
              <w:rPr>
                <w:color w:val="000000"/>
                <w:shd w:val="clear" w:color="auto" w:fill="FFFFFF"/>
                <w:lang w:eastAsia="en-US"/>
              </w:rPr>
              <w:t xml:space="preserve"> в </w:t>
            </w:r>
            <w:r w:rsidRPr="00D81227">
              <w:rPr>
                <w:color w:val="000000"/>
                <w:shd w:val="clear" w:color="auto" w:fill="FFFFFF"/>
                <w:lang w:eastAsia="en-US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  <w:p w:rsidR="00D81227" w:rsidRP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P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D81227" w:rsidRP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 w:rsidRPr="00D81227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P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>
              <w:rPr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81227" w:rsidRDefault="00D81227" w:rsidP="00D8122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81227" w:rsidRDefault="00D81227" w:rsidP="00D8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81227" w:rsidRDefault="00D81227" w:rsidP="00D8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81227" w:rsidRDefault="00D81227" w:rsidP="00D8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81227" w:rsidRDefault="00D81227" w:rsidP="00D812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81227" w:rsidRDefault="00D81227" w:rsidP="00D812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81227" w:rsidRPr="00494DD5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81227" w:rsidRPr="00494DD5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Pr="00280669" w:rsidRDefault="00D81227" w:rsidP="00D8122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города Боготола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  <w:lang w:eastAsia="en-US"/>
              </w:rPr>
              <w:lastRenderedPageBreak/>
              <w:t>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lastRenderedPageBreak/>
              <w:t xml:space="preserve">Орган муниципального контроля  </w:t>
            </w:r>
          </w:p>
        </w:tc>
      </w:tr>
      <w:tr w:rsidR="00D81227" w:rsidTr="001177FB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227" w:rsidRDefault="00D81227" w:rsidP="00D81227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81227" w:rsidRDefault="00D81227" w:rsidP="00D81227">
            <w:pPr>
              <w:jc w:val="center"/>
              <w:rPr>
                <w:color w:val="000000" w:themeColor="text1"/>
                <w:lang w:eastAsia="en-US"/>
              </w:rPr>
            </w:pPr>
          </w:p>
          <w:p w:rsidR="00D81227" w:rsidRDefault="00D81227" w:rsidP="00D812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227" w:rsidRDefault="007112E0" w:rsidP="00D8122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8"/>
              </w:rPr>
              <w:t xml:space="preserve">Орган муниципального контроля  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1177F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D81227">
        <w:rPr>
          <w:color w:val="000000" w:themeColor="text1"/>
          <w:sz w:val="28"/>
          <w:szCs w:val="28"/>
        </w:rPr>
        <w:t>города Боготола.</w:t>
      </w:r>
    </w:p>
    <w:p w:rsidR="00416846" w:rsidRPr="00976235" w:rsidRDefault="00494DD5" w:rsidP="00D81227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D81227">
        <w:rPr>
          <w:color w:val="000000" w:themeColor="text1"/>
          <w:sz w:val="28"/>
          <w:szCs w:val="28"/>
        </w:rPr>
        <w:t>муниципальным образованием город Боготол.</w:t>
      </w:r>
    </w:p>
    <w:p w:rsidR="00494DD5" w:rsidRPr="00976235" w:rsidRDefault="00494DD5" w:rsidP="00D8122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494DD5" w:rsidRPr="00976235" w:rsidSect="001177FB"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8E" w:rsidRDefault="00AC068E" w:rsidP="00494DD5">
      <w:r>
        <w:separator/>
      </w:r>
    </w:p>
  </w:endnote>
  <w:endnote w:type="continuationSeparator" w:id="0">
    <w:p w:rsidR="00AC068E" w:rsidRDefault="00AC068E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8E" w:rsidRDefault="00AC068E" w:rsidP="00494DD5">
      <w:r>
        <w:separator/>
      </w:r>
    </w:p>
  </w:footnote>
  <w:footnote w:type="continuationSeparator" w:id="0">
    <w:p w:rsidR="00AC068E" w:rsidRDefault="00AC068E" w:rsidP="0049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82310"/>
    <w:rsid w:val="000B326C"/>
    <w:rsid w:val="001143B5"/>
    <w:rsid w:val="001177FB"/>
    <w:rsid w:val="001776F2"/>
    <w:rsid w:val="001C237A"/>
    <w:rsid w:val="00280669"/>
    <w:rsid w:val="002E6E21"/>
    <w:rsid w:val="003075EA"/>
    <w:rsid w:val="0034284A"/>
    <w:rsid w:val="00397C9B"/>
    <w:rsid w:val="003C5E25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0973"/>
    <w:rsid w:val="006A3562"/>
    <w:rsid w:val="006A3E2A"/>
    <w:rsid w:val="007112E0"/>
    <w:rsid w:val="007A0519"/>
    <w:rsid w:val="00885205"/>
    <w:rsid w:val="00892A47"/>
    <w:rsid w:val="008F347F"/>
    <w:rsid w:val="008F4B09"/>
    <w:rsid w:val="0094545B"/>
    <w:rsid w:val="00976235"/>
    <w:rsid w:val="009A4D64"/>
    <w:rsid w:val="009B01FC"/>
    <w:rsid w:val="00A75F30"/>
    <w:rsid w:val="00AB45D0"/>
    <w:rsid w:val="00AC068E"/>
    <w:rsid w:val="00B95FEB"/>
    <w:rsid w:val="00BC664C"/>
    <w:rsid w:val="00C152B3"/>
    <w:rsid w:val="00C646E2"/>
    <w:rsid w:val="00CF4AAE"/>
    <w:rsid w:val="00D53E14"/>
    <w:rsid w:val="00D81227"/>
    <w:rsid w:val="00D96BF0"/>
    <w:rsid w:val="00EC1AE9"/>
    <w:rsid w:val="00EE3C52"/>
    <w:rsid w:val="00F12F25"/>
    <w:rsid w:val="00F14879"/>
    <w:rsid w:val="00F54E91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A28A-F3E8-457A-89ED-7F5C64C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Silina LA</cp:lastModifiedBy>
  <cp:revision>9</cp:revision>
  <dcterms:created xsi:type="dcterms:W3CDTF">2023-06-21T08:26:00Z</dcterms:created>
  <dcterms:modified xsi:type="dcterms:W3CDTF">2023-07-19T03:20:00Z</dcterms:modified>
</cp:coreProperties>
</file>